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贵州省磷肥产品质量监督抽查实施细则</w:t>
      </w:r>
    </w:p>
    <w:p>
      <w:pPr>
        <w:spacing w:line="440" w:lineRule="exact"/>
        <w:jc w:val="center"/>
        <w:rPr>
          <w:rFonts w:ascii="楷体_GB2312" w:hAnsi="楷体_GB2312" w:eastAsia="楷体_GB2312" w:cs="楷体_GB2312"/>
          <w:color w:val="000000"/>
          <w:sz w:val="30"/>
          <w:szCs w:val="30"/>
        </w:rPr>
      </w:pPr>
      <w:r>
        <w:rPr>
          <w:rFonts w:hint="eastAsia" w:ascii="楷体_GB2312" w:hAnsi="楷体_GB2312" w:eastAsia="楷体_GB2312" w:cs="楷体_GB2312"/>
          <w:color w:val="000000"/>
          <w:sz w:val="30"/>
          <w:szCs w:val="30"/>
        </w:rPr>
        <w:t>（202</w:t>
      </w:r>
      <w:r>
        <w:rPr>
          <w:rFonts w:hint="eastAsia" w:ascii="楷体_GB2312" w:hAnsi="楷体_GB2312" w:eastAsia="楷体_GB2312" w:cs="楷体_GB2312"/>
          <w:color w:val="000000"/>
          <w:sz w:val="30"/>
          <w:szCs w:val="30"/>
          <w:lang w:val="en-US" w:eastAsia="zh-CN"/>
        </w:rPr>
        <w:t>6</w:t>
      </w:r>
      <w:r>
        <w:rPr>
          <w:rFonts w:hint="eastAsia" w:ascii="楷体_GB2312" w:hAnsi="楷体_GB2312" w:eastAsia="楷体_GB2312" w:cs="楷体_GB2312"/>
          <w:color w:val="000000"/>
          <w:sz w:val="30"/>
          <w:szCs w:val="30"/>
        </w:rPr>
        <w:t>年版）</w:t>
      </w:r>
    </w:p>
    <w:p>
      <w:pPr>
        <w:spacing w:line="440" w:lineRule="exact"/>
        <w:jc w:val="center"/>
        <w:rPr>
          <w:rFonts w:ascii="楷体_GB2312" w:hAnsi="楷体_GB2312" w:eastAsia="楷体_GB2312" w:cs="楷体_GB2312"/>
          <w:color w:val="000000"/>
          <w:sz w:val="32"/>
          <w:szCs w:val="32"/>
        </w:rPr>
      </w:pPr>
    </w:p>
    <w:p>
      <w:pPr>
        <w:snapToGrid w:val="0"/>
        <w:spacing w:line="440" w:lineRule="exact"/>
        <w:rPr>
          <w:rFonts w:hint="eastAsia" w:ascii="黑体" w:hAnsi="黑体" w:eastAsia="黑体"/>
          <w:color w:val="auto"/>
          <w:szCs w:val="21"/>
        </w:rPr>
      </w:pPr>
      <w:r>
        <w:rPr>
          <w:rFonts w:hint="eastAsia" w:ascii="黑体" w:hAnsi="黑体" w:eastAsia="黑体"/>
          <w:color w:val="auto"/>
          <w:szCs w:val="21"/>
        </w:rPr>
        <w:t>1 抽样方法</w:t>
      </w:r>
    </w:p>
    <w:p>
      <w:pPr>
        <w:snapToGrid w:val="0"/>
        <w:spacing w:line="440" w:lineRule="exact"/>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以随机抽样的方式在被抽样生产者、销售者的待销产品中抽取。</w:t>
      </w:r>
    </w:p>
    <w:p>
      <w:pPr>
        <w:snapToGrid w:val="0"/>
        <w:spacing w:line="440" w:lineRule="exact"/>
        <w:ind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随机数一般可使用随机数表等方法产生。</w:t>
      </w:r>
    </w:p>
    <w:p>
      <w:pPr>
        <w:snapToGrid w:val="0"/>
        <w:spacing w:line="440" w:lineRule="exact"/>
        <w:ind w:firstLine="420" w:firstLineChars="200"/>
        <w:rPr>
          <w:rFonts w:hint="default" w:ascii="Times New Roman" w:hAnsi="Times New Roman" w:cs="Times New Roman"/>
          <w:color w:val="000000" w:themeColor="text1"/>
          <w:szCs w:val="21"/>
          <w14:textFill>
            <w14:solidFill>
              <w14:schemeClr w14:val="tx1"/>
            </w14:solidFill>
          </w14:textFill>
        </w:rPr>
      </w:pPr>
      <w:bookmarkStart w:id="0" w:name="_Hlk103259270"/>
      <w:r>
        <w:rPr>
          <w:rFonts w:hint="default" w:ascii="Times New Roman" w:hAnsi="Times New Roman" w:cs="Times New Roman"/>
          <w:color w:val="000000" w:themeColor="text1"/>
          <w:szCs w:val="21"/>
          <w14:textFill>
            <w14:solidFill>
              <w14:schemeClr w14:val="tx1"/>
            </w14:solidFill>
          </w14:textFill>
        </w:rPr>
        <w:t>将样品缩分至</w:t>
      </w:r>
      <w:r>
        <w:rPr>
          <w:rFonts w:hint="default" w:ascii="Times New Roman" w:hAnsi="Times New Roman" w:cs="Times New Roman"/>
          <w:color w:val="000000" w:themeColor="text1"/>
          <w:szCs w:val="21"/>
          <w14:textFill>
            <w14:solidFill>
              <w14:schemeClr w14:val="tx1"/>
            </w14:solidFill>
          </w14:textFill>
        </w:rPr>
        <w:t>约1kg，再缩分成两份，分装于2个洁净、干燥的塑料瓶中。1瓶作为检验样品，另1瓶作为备用样品。</w:t>
      </w:r>
      <w:bookmarkEnd w:id="0"/>
    </w:p>
    <w:p>
      <w:pPr>
        <w:snapToGrid w:val="0"/>
        <w:spacing w:line="440" w:lineRule="exact"/>
        <w:rPr>
          <w:rFonts w:hint="default" w:ascii="Times New Roman" w:hAnsi="Times New Roman" w:eastAsia="黑体" w:cs="Times New Roman"/>
          <w:bCs/>
          <w:color w:val="000000"/>
          <w:szCs w:val="21"/>
        </w:rPr>
      </w:pPr>
      <w:r>
        <w:rPr>
          <w:rFonts w:hint="default" w:ascii="Times New Roman" w:hAnsi="Times New Roman" w:eastAsia="黑体" w:cs="Times New Roman"/>
          <w:color w:val="000000"/>
          <w:szCs w:val="21"/>
        </w:rPr>
        <w:t>2 检验依据</w:t>
      </w:r>
    </w:p>
    <w:p>
      <w:pPr>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表1过磷酸钙</w:t>
      </w:r>
    </w:p>
    <w:tbl>
      <w:tblPr>
        <w:tblStyle w:val="9"/>
        <w:tblW w:w="906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5670"/>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699" w:type="dxa"/>
            <w:tcBorders>
              <w:tl2br w:val="nil"/>
              <w:tr2bl w:val="nil"/>
            </w:tcBorders>
            <w:shd w:val="clear" w:color="auto" w:fill="auto"/>
            <w:noWrap/>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序号</w:t>
            </w:r>
          </w:p>
        </w:tc>
        <w:tc>
          <w:tcPr>
            <w:tcW w:w="5670" w:type="dxa"/>
            <w:tcBorders>
              <w:tl2br w:val="nil"/>
              <w:tr2bl w:val="nil"/>
            </w:tcBorders>
            <w:shd w:val="clear" w:color="auto" w:fill="auto"/>
            <w:noWrap/>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检验项目</w:t>
            </w:r>
          </w:p>
        </w:tc>
        <w:tc>
          <w:tcPr>
            <w:tcW w:w="2693" w:type="dxa"/>
            <w:tcBorders>
              <w:tl2br w:val="nil"/>
              <w:tr2bl w:val="nil"/>
            </w:tcBorders>
            <w:shd w:val="clear" w:color="auto" w:fill="auto"/>
            <w:noWrap/>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有效磷(以P</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r>
              <w:rPr>
                <w:rFonts w:hint="default" w:ascii="Times New Roman" w:hAnsi="Times New Roman" w:cs="Times New Roman"/>
                <w:kern w:val="0"/>
                <w:szCs w:val="21"/>
                <w:vertAlign w:val="subscript"/>
              </w:rPr>
              <w:t>5</w:t>
            </w:r>
            <w:r>
              <w:rPr>
                <w:rFonts w:hint="default" w:ascii="Times New Roman" w:hAnsi="Times New Roman" w:cs="Times New Roman"/>
                <w:kern w:val="0"/>
                <w:szCs w:val="21"/>
              </w:rPr>
              <w:t>计)的质量分数</w:t>
            </w:r>
          </w:p>
        </w:tc>
        <w:tc>
          <w:tcPr>
            <w:tcW w:w="2693" w:type="dxa"/>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水溶性磷(以P</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r>
              <w:rPr>
                <w:rFonts w:hint="default" w:ascii="Times New Roman" w:hAnsi="Times New Roman" w:cs="Times New Roman"/>
                <w:kern w:val="0"/>
                <w:szCs w:val="21"/>
                <w:vertAlign w:val="subscript"/>
              </w:rPr>
              <w:t>5</w:t>
            </w:r>
            <w:r>
              <w:rPr>
                <w:rFonts w:hint="default" w:ascii="Times New Roman" w:hAnsi="Times New Roman" w:cs="Times New Roman"/>
                <w:kern w:val="0"/>
                <w:szCs w:val="21"/>
              </w:rPr>
              <w:t>计)的质量分数</w:t>
            </w:r>
          </w:p>
        </w:tc>
        <w:tc>
          <w:tcPr>
            <w:tcW w:w="2693" w:type="dxa"/>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硫(以S计)的质量分数</w:t>
            </w:r>
          </w:p>
        </w:tc>
        <w:tc>
          <w:tcPr>
            <w:tcW w:w="2693" w:type="dxa"/>
            <w:tcBorders>
              <w:tl2br w:val="nil"/>
              <w:tr2bl w:val="nil"/>
            </w:tcBorders>
            <w:shd w:val="clear" w:color="auto" w:fill="auto"/>
            <w:noWrap/>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GB/T 19203-2003</w:t>
            </w:r>
          </w:p>
          <w:p>
            <w:pPr>
              <w:widowControl/>
              <w:jc w:val="center"/>
              <w:rPr>
                <w:rFonts w:hint="default" w:ascii="Times New Roman" w:hAnsi="Times New Roman" w:cs="Times New Roman"/>
                <w:color w:val="000000"/>
                <w:kern w:val="0"/>
                <w:szCs w:val="21"/>
              </w:rPr>
            </w:pPr>
            <w:r>
              <w:rPr>
                <w:rFonts w:hint="default" w:ascii="Times New Roman" w:hAnsi="Times New Roman" w:cs="Times New Roman"/>
                <w:kern w:val="0"/>
                <w:szCs w:val="21"/>
                <w:lang w:bidi="ar"/>
              </w:rPr>
              <w:t>NY/T 1117-2010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游离酸(以P</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r>
              <w:rPr>
                <w:rFonts w:hint="default" w:ascii="Times New Roman" w:hAnsi="Times New Roman" w:cs="Times New Roman"/>
                <w:kern w:val="0"/>
                <w:szCs w:val="21"/>
                <w:vertAlign w:val="subscript"/>
              </w:rPr>
              <w:t>5</w:t>
            </w:r>
            <w:r>
              <w:rPr>
                <w:rFonts w:hint="default" w:ascii="Times New Roman" w:hAnsi="Times New Roman" w:cs="Times New Roman"/>
                <w:kern w:val="0"/>
                <w:szCs w:val="21"/>
              </w:rPr>
              <w:t>计)的质量分数</w:t>
            </w:r>
          </w:p>
        </w:tc>
        <w:tc>
          <w:tcPr>
            <w:tcW w:w="2693" w:type="dxa"/>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游离水的质量分数</w:t>
            </w:r>
          </w:p>
        </w:tc>
        <w:tc>
          <w:tcPr>
            <w:tcW w:w="2693" w:type="dxa"/>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三氯乙醛的质量分数</w:t>
            </w:r>
          </w:p>
        </w:tc>
        <w:tc>
          <w:tcPr>
            <w:tcW w:w="2693" w:type="dxa"/>
            <w:tcBorders>
              <w:tl2br w:val="nil"/>
              <w:tr2bl w:val="nil"/>
            </w:tcBorders>
            <w:shd w:val="clear" w:color="auto" w:fill="auto"/>
            <w:noWrap/>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31266-2014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粒度(1.00mm～4.75mm或3.35mm～5.60mm)的质量分数</w:t>
            </w:r>
          </w:p>
        </w:tc>
        <w:tc>
          <w:tcPr>
            <w:tcW w:w="2693" w:type="dxa"/>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bookmarkStart w:id="1" w:name="_GoBack" w:colFirst="0" w:colLast="1"/>
          </w:p>
        </w:tc>
        <w:tc>
          <w:tcPr>
            <w:tcW w:w="5670"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总砷</w:t>
            </w:r>
          </w:p>
        </w:tc>
        <w:tc>
          <w:tcPr>
            <w:tcW w:w="2693"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总镉</w:t>
            </w:r>
          </w:p>
        </w:tc>
        <w:tc>
          <w:tcPr>
            <w:tcW w:w="2693"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总铅</w:t>
            </w:r>
          </w:p>
        </w:tc>
        <w:tc>
          <w:tcPr>
            <w:tcW w:w="2693"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总铬</w:t>
            </w:r>
          </w:p>
        </w:tc>
        <w:tc>
          <w:tcPr>
            <w:tcW w:w="2693"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总汞</w:t>
            </w:r>
          </w:p>
        </w:tc>
        <w:tc>
          <w:tcPr>
            <w:tcW w:w="2693"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总铊</w:t>
            </w:r>
          </w:p>
        </w:tc>
        <w:tc>
          <w:tcPr>
            <w:tcW w:w="2693" w:type="dxa"/>
            <w:tcBorders>
              <w:tl2br w:val="nil"/>
              <w:tr2bl w:val="nil"/>
            </w:tcBorders>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kern w:val="0"/>
                <w:szCs w:val="21"/>
              </w:rPr>
              <w:t>挥发性有机化合物</w:t>
            </w:r>
          </w:p>
        </w:tc>
        <w:tc>
          <w:tcPr>
            <w:tcW w:w="2693" w:type="dxa"/>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99" w:type="dxa"/>
            <w:tcBorders>
              <w:tl2br w:val="nil"/>
              <w:tr2bl w:val="nil"/>
            </w:tcBorders>
            <w:shd w:val="clear" w:color="auto" w:fill="auto"/>
            <w:noWrap/>
            <w:vAlign w:val="center"/>
          </w:tcPr>
          <w:p>
            <w:pPr>
              <w:pStyle w:val="21"/>
              <w:widowControl/>
              <w:numPr>
                <w:ilvl w:val="0"/>
                <w:numId w:val="1"/>
              </w:numPr>
              <w:ind w:firstLineChars="0"/>
              <w:jc w:val="center"/>
              <w:rPr>
                <w:rFonts w:hint="default" w:ascii="Times New Roman" w:hAnsi="Times New Roman" w:eastAsia="宋体" w:cs="Times New Roman"/>
                <w:color w:val="000000"/>
                <w:kern w:val="0"/>
                <w:szCs w:val="21"/>
              </w:rPr>
            </w:pPr>
          </w:p>
        </w:tc>
        <w:tc>
          <w:tcPr>
            <w:tcW w:w="5670" w:type="dxa"/>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包装标识(养分含量、名称中的禁用</w:t>
            </w:r>
            <w:r>
              <w:rPr>
                <w:rFonts w:hint="default" w:ascii="Times New Roman" w:hAnsi="Times New Roman" w:cs="Times New Roman"/>
                <w:color w:val="000000" w:themeColor="text1"/>
                <w:kern w:val="0"/>
                <w:szCs w:val="21"/>
                <w14:textFill>
                  <w14:solidFill>
                    <w14:schemeClr w14:val="tx1"/>
                  </w14:solidFill>
                </w14:textFill>
              </w:rPr>
              <w:t>语</w:t>
            </w:r>
            <w:r>
              <w:rPr>
                <w:rFonts w:hint="eastAsia" w:cs="Times New Roman"/>
                <w:color w:val="000000" w:themeColor="text1"/>
                <w:kern w:val="0"/>
                <w:szCs w:val="21"/>
                <w:lang w:val="en-US" w:eastAsia="zh-CN"/>
                <w14:textFill>
                  <w14:solidFill>
                    <w14:schemeClr w14:val="tx1"/>
                  </w14:solidFill>
                </w14:textFill>
              </w:rPr>
              <w:t>等</w:t>
            </w:r>
            <w:r>
              <w:rPr>
                <w:rFonts w:hint="default" w:ascii="Times New Roman" w:hAnsi="Times New Roman" w:cs="Times New Roman"/>
                <w:color w:val="000000"/>
                <w:kern w:val="0"/>
                <w:szCs w:val="21"/>
              </w:rPr>
              <w:t>)</w:t>
            </w:r>
          </w:p>
        </w:tc>
        <w:tc>
          <w:tcPr>
            <w:tcW w:w="2693" w:type="dxa"/>
            <w:tcBorders>
              <w:tl2br w:val="nil"/>
              <w:tr2bl w:val="nil"/>
            </w:tcBorders>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18382-2021</w:t>
            </w:r>
          </w:p>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20413-2017</w:t>
            </w:r>
          </w:p>
        </w:tc>
      </w:tr>
    </w:tbl>
    <w:p>
      <w:pPr>
        <w:snapToGrid w:val="0"/>
        <w:spacing w:line="440" w:lineRule="exact"/>
        <w:jc w:val="center"/>
        <w:rPr>
          <w:rFonts w:hint="default" w:ascii="Times New Roman" w:hAnsi="Times New Roman" w:cs="Times New Roman"/>
          <w:bCs/>
          <w:color w:val="000000"/>
          <w:szCs w:val="21"/>
        </w:rPr>
      </w:pPr>
    </w:p>
    <w:p>
      <w:pPr>
        <w:snapToGrid w:val="0"/>
        <w:spacing w:line="440" w:lineRule="exact"/>
        <w:rPr>
          <w:rFonts w:hint="default" w:ascii="Times New Roman" w:hAnsi="Times New Roman" w:cs="Times New Roman"/>
          <w:bCs/>
          <w:color w:val="000000"/>
          <w:szCs w:val="21"/>
        </w:rPr>
      </w:pPr>
    </w:p>
    <w:p>
      <w:pPr>
        <w:snapToGrid w:val="0"/>
        <w:spacing w:line="440" w:lineRule="exact"/>
        <w:rPr>
          <w:rFonts w:hint="default" w:ascii="Times New Roman" w:hAnsi="Times New Roman" w:cs="Times New Roman"/>
          <w:bCs/>
          <w:color w:val="000000"/>
          <w:szCs w:val="21"/>
        </w:rPr>
      </w:pPr>
    </w:p>
    <w:p>
      <w:pPr>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表2钙镁磷肥</w:t>
      </w:r>
    </w:p>
    <w:tbl>
      <w:tblPr>
        <w:tblStyle w:val="9"/>
        <w:tblW w:w="8921"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496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9" w:type="dxa"/>
            <w:tcBorders>
              <w:tl2br w:val="nil"/>
              <w:tr2bl w:val="nil"/>
            </w:tcBorders>
            <w:shd w:val="clear" w:color="auto" w:fill="auto"/>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序号</w:t>
            </w:r>
          </w:p>
        </w:tc>
        <w:tc>
          <w:tcPr>
            <w:tcW w:w="4961" w:type="dxa"/>
            <w:tcBorders>
              <w:tl2br w:val="nil"/>
              <w:tr2bl w:val="nil"/>
            </w:tcBorders>
            <w:shd w:val="clear" w:color="auto" w:fill="auto"/>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检验项目</w:t>
            </w:r>
          </w:p>
        </w:tc>
        <w:tc>
          <w:tcPr>
            <w:tcW w:w="3261" w:type="dxa"/>
            <w:tcBorders>
              <w:tl2br w:val="nil"/>
              <w:tr2bl w:val="nil"/>
            </w:tcBorders>
            <w:shd w:val="clear" w:color="auto" w:fill="auto"/>
            <w:vAlign w:val="center"/>
          </w:tcPr>
          <w:p>
            <w:pPr>
              <w:widowControl/>
              <w:jc w:val="center"/>
              <w:rPr>
                <w:rFonts w:hint="default" w:ascii="Times New Roman" w:hAnsi="Times New Roman" w:eastAsia="黑体" w:cs="Times New Roman"/>
                <w:color w:val="000000"/>
                <w:kern w:val="0"/>
                <w:szCs w:val="21"/>
              </w:rPr>
            </w:pPr>
            <w:r>
              <w:rPr>
                <w:rFonts w:hint="default" w:ascii="Times New Roman" w:hAnsi="Times New Roman" w:eastAsia="黑体" w:cs="Times New Roman"/>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有效五氧化二磷(P</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r>
              <w:rPr>
                <w:rFonts w:hint="default" w:ascii="Times New Roman" w:hAnsi="Times New Roman" w:cs="Times New Roman"/>
                <w:kern w:val="0"/>
                <w:szCs w:val="21"/>
                <w:vertAlign w:val="subscript"/>
              </w:rPr>
              <w:t>5</w:t>
            </w:r>
            <w:r>
              <w:rPr>
                <w:rFonts w:hint="default" w:ascii="Times New Roman" w:hAnsi="Times New Roman" w:cs="Times New Roman"/>
                <w:kern w:val="0"/>
                <w:szCs w:val="21"/>
              </w:rPr>
              <w:t xml:space="preserve">) </w:t>
            </w:r>
          </w:p>
        </w:tc>
        <w:tc>
          <w:tcPr>
            <w:tcW w:w="3261" w:type="dxa"/>
            <w:tcBorders>
              <w:tl2br w:val="nil"/>
              <w:tr2bl w:val="nil"/>
            </w:tcBorders>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水分(H</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p>
        </w:tc>
        <w:tc>
          <w:tcPr>
            <w:tcW w:w="3261" w:type="dxa"/>
            <w:tcBorders>
              <w:tl2br w:val="nil"/>
              <w:tr2bl w:val="nil"/>
            </w:tcBorders>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细度(通过0.25mm试验筛)</w:t>
            </w:r>
          </w:p>
        </w:tc>
        <w:tc>
          <w:tcPr>
            <w:tcW w:w="3261" w:type="dxa"/>
            <w:tcBorders>
              <w:tl2br w:val="nil"/>
              <w:tr2bl w:val="nil"/>
            </w:tcBorders>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粒度(2.00mm~4.75mm)</w:t>
            </w:r>
          </w:p>
        </w:tc>
        <w:tc>
          <w:tcPr>
            <w:tcW w:w="32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有效钙（Ca）</w:t>
            </w:r>
          </w:p>
        </w:tc>
        <w:tc>
          <w:tcPr>
            <w:tcW w:w="32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可溶性硅（SiO</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w:t>
            </w:r>
          </w:p>
        </w:tc>
        <w:tc>
          <w:tcPr>
            <w:tcW w:w="32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有效镁（Mg）</w:t>
            </w:r>
          </w:p>
        </w:tc>
        <w:tc>
          <w:tcPr>
            <w:tcW w:w="32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颗粒平均抗压碎力</w:t>
            </w:r>
          </w:p>
        </w:tc>
        <w:tc>
          <w:tcPr>
            <w:tcW w:w="32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溶散率</w:t>
            </w:r>
          </w:p>
        </w:tc>
        <w:tc>
          <w:tcPr>
            <w:tcW w:w="3261" w:type="dxa"/>
            <w:tcBorders>
              <w:tl2br w:val="nil"/>
              <w:tr2bl w:val="nil"/>
            </w:tcBorders>
            <w:shd w:val="clear" w:color="auto" w:fill="auto"/>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20412-2021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总砷</w:t>
            </w:r>
          </w:p>
        </w:tc>
        <w:tc>
          <w:tcPr>
            <w:tcW w:w="3261"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总镉</w:t>
            </w:r>
          </w:p>
        </w:tc>
        <w:tc>
          <w:tcPr>
            <w:tcW w:w="3261"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总铅</w:t>
            </w:r>
          </w:p>
        </w:tc>
        <w:tc>
          <w:tcPr>
            <w:tcW w:w="3261"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总铬</w:t>
            </w:r>
          </w:p>
        </w:tc>
        <w:tc>
          <w:tcPr>
            <w:tcW w:w="3261"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总汞</w:t>
            </w:r>
          </w:p>
        </w:tc>
        <w:tc>
          <w:tcPr>
            <w:tcW w:w="3261" w:type="dxa"/>
            <w:tcBorders>
              <w:tl2br w:val="nil"/>
              <w:tr2bl w:val="nil"/>
            </w:tcBorders>
            <w:shd w:val="clear" w:color="auto" w:fill="FFFFFF"/>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总铊</w:t>
            </w:r>
          </w:p>
        </w:tc>
        <w:tc>
          <w:tcPr>
            <w:tcW w:w="3261" w:type="dxa"/>
            <w:tcBorders>
              <w:tl2br w:val="nil"/>
              <w:tr2bl w:val="nil"/>
            </w:tcBorders>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99" w:type="dxa"/>
            <w:tcBorders>
              <w:tl2br w:val="nil"/>
              <w:tr2bl w:val="nil"/>
            </w:tcBorders>
            <w:shd w:val="clear" w:color="auto" w:fill="auto"/>
            <w:vAlign w:val="center"/>
          </w:tcPr>
          <w:p>
            <w:pPr>
              <w:pStyle w:val="21"/>
              <w:widowControl/>
              <w:numPr>
                <w:ilvl w:val="0"/>
                <w:numId w:val="2"/>
              </w:numPr>
              <w:ind w:firstLineChars="0"/>
              <w:jc w:val="center"/>
              <w:rPr>
                <w:rFonts w:hint="default" w:ascii="Times New Roman" w:hAnsi="Times New Roman" w:eastAsia="宋体" w:cs="Times New Roman"/>
                <w:color w:val="000000"/>
                <w:kern w:val="0"/>
                <w:szCs w:val="21"/>
              </w:rPr>
            </w:pPr>
          </w:p>
        </w:tc>
        <w:tc>
          <w:tcPr>
            <w:tcW w:w="49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包装标识(养分含量、名称中的禁用</w:t>
            </w:r>
            <w:r>
              <w:rPr>
                <w:rFonts w:hint="default" w:ascii="Times New Roman" w:hAnsi="Times New Roman" w:cs="Times New Roman"/>
                <w:color w:val="000000" w:themeColor="text1"/>
                <w:kern w:val="0"/>
                <w:szCs w:val="21"/>
                <w14:textFill>
                  <w14:solidFill>
                    <w14:schemeClr w14:val="tx1"/>
                  </w14:solidFill>
                </w14:textFill>
              </w:rPr>
              <w:t>语</w:t>
            </w:r>
            <w:r>
              <w:rPr>
                <w:rFonts w:hint="eastAsia" w:cs="Times New Roman"/>
                <w:color w:val="000000" w:themeColor="text1"/>
                <w:kern w:val="0"/>
                <w:szCs w:val="21"/>
                <w:lang w:val="en-US" w:eastAsia="zh-CN"/>
                <w14:textFill>
                  <w14:solidFill>
                    <w14:schemeClr w14:val="tx1"/>
                  </w14:solidFill>
                </w14:textFill>
              </w:rPr>
              <w:t>等</w:t>
            </w:r>
            <w:r>
              <w:rPr>
                <w:rFonts w:hint="default" w:ascii="Times New Roman" w:hAnsi="Times New Roman" w:cs="Times New Roman"/>
                <w:color w:val="000000"/>
                <w:kern w:val="0"/>
                <w:szCs w:val="21"/>
              </w:rPr>
              <w:t>)</w:t>
            </w:r>
          </w:p>
        </w:tc>
        <w:tc>
          <w:tcPr>
            <w:tcW w:w="3261" w:type="dxa"/>
            <w:tcBorders>
              <w:tl2br w:val="nil"/>
              <w:tr2bl w:val="nil"/>
            </w:tcBorders>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18382-2021</w:t>
            </w:r>
          </w:p>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20412-2021</w:t>
            </w:r>
          </w:p>
        </w:tc>
      </w:tr>
    </w:tbl>
    <w:p>
      <w:pPr>
        <w:snapToGrid w:val="0"/>
        <w:spacing w:line="440" w:lineRule="exact"/>
        <w:jc w:val="center"/>
        <w:rPr>
          <w:rFonts w:hint="default" w:ascii="Times New Roman" w:hAnsi="Times New Roman" w:cs="Times New Roman"/>
          <w:bCs/>
          <w:color w:val="000000"/>
          <w:szCs w:val="21"/>
        </w:rPr>
      </w:pPr>
    </w:p>
    <w:p>
      <w:pPr>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表3 重过磷酸钙</w:t>
      </w:r>
    </w:p>
    <w:tbl>
      <w:tblPr>
        <w:tblStyle w:val="9"/>
        <w:tblW w:w="49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5173"/>
        <w:gridCol w:w="3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412" w:type="pct"/>
            <w:noWrap/>
            <w:vAlign w:val="center"/>
          </w:tcPr>
          <w:p>
            <w:pPr>
              <w:snapToGrid w:val="0"/>
              <w:spacing w:line="440" w:lineRule="exact"/>
              <w:jc w:val="center"/>
              <w:rPr>
                <w:rFonts w:hint="default" w:ascii="Times New Roman" w:hAnsi="Times New Roman" w:eastAsia="黑体" w:cs="Times New Roman"/>
                <w:bCs/>
                <w:szCs w:val="21"/>
              </w:rPr>
            </w:pPr>
            <w:r>
              <w:rPr>
                <w:rFonts w:hint="default" w:ascii="Times New Roman" w:hAnsi="Times New Roman" w:eastAsia="黑体" w:cs="Times New Roman"/>
                <w:bCs/>
                <w:szCs w:val="21"/>
              </w:rPr>
              <w:t>序号</w:t>
            </w:r>
          </w:p>
        </w:tc>
        <w:tc>
          <w:tcPr>
            <w:tcW w:w="2866" w:type="pct"/>
            <w:noWrap/>
            <w:vAlign w:val="center"/>
          </w:tcPr>
          <w:p>
            <w:pPr>
              <w:snapToGrid w:val="0"/>
              <w:spacing w:line="440" w:lineRule="exact"/>
              <w:jc w:val="center"/>
              <w:rPr>
                <w:rFonts w:hint="default" w:ascii="Times New Roman" w:hAnsi="Times New Roman" w:eastAsia="黑体" w:cs="Times New Roman"/>
                <w:bCs/>
                <w:szCs w:val="21"/>
              </w:rPr>
            </w:pPr>
            <w:r>
              <w:rPr>
                <w:rFonts w:hint="default" w:ascii="Times New Roman" w:hAnsi="Times New Roman" w:eastAsia="黑体" w:cs="Times New Roman"/>
                <w:bCs/>
                <w:szCs w:val="21"/>
              </w:rPr>
              <w:t>检验项目</w:t>
            </w:r>
          </w:p>
        </w:tc>
        <w:tc>
          <w:tcPr>
            <w:tcW w:w="1722" w:type="pct"/>
            <w:noWrap/>
            <w:vAlign w:val="center"/>
          </w:tcPr>
          <w:p>
            <w:pPr>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1</w:t>
            </w:r>
          </w:p>
        </w:tc>
        <w:tc>
          <w:tcPr>
            <w:tcW w:w="2866" w:type="pct"/>
            <w:noWrap/>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总磷（以P</w:t>
            </w:r>
            <w:r>
              <w:rPr>
                <w:rFonts w:hint="default" w:ascii="Times New Roman" w:hAnsi="Times New Roman" w:cs="Times New Roman"/>
                <w:szCs w:val="21"/>
                <w:vertAlign w:val="subscript"/>
              </w:rPr>
              <w:t>2</w:t>
            </w:r>
            <w:r>
              <w:rPr>
                <w:rFonts w:hint="default" w:ascii="Times New Roman" w:hAnsi="Times New Roman" w:cs="Times New Roman"/>
                <w:szCs w:val="21"/>
              </w:rPr>
              <w:t>O</w:t>
            </w:r>
            <w:r>
              <w:rPr>
                <w:rFonts w:hint="default" w:ascii="Times New Roman" w:hAnsi="Times New Roman" w:cs="Times New Roman"/>
                <w:szCs w:val="21"/>
                <w:vertAlign w:val="subscript"/>
              </w:rPr>
              <w:t>5</w:t>
            </w:r>
            <w:r>
              <w:rPr>
                <w:rFonts w:hint="default" w:ascii="Times New Roman" w:hAnsi="Times New Roman" w:cs="Times New Roman"/>
                <w:szCs w:val="21"/>
              </w:rPr>
              <w:t>计）</w:t>
            </w:r>
          </w:p>
        </w:tc>
        <w:tc>
          <w:tcPr>
            <w:tcW w:w="1722" w:type="pct"/>
            <w:vMerge w:val="restart"/>
            <w:noWrap/>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21634-2020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2</w:t>
            </w:r>
          </w:p>
        </w:tc>
        <w:tc>
          <w:tcPr>
            <w:tcW w:w="2866" w:type="pct"/>
            <w:noWrap/>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水溶性磷（以P</w:t>
            </w:r>
            <w:r>
              <w:rPr>
                <w:rFonts w:hint="default" w:ascii="Times New Roman" w:hAnsi="Times New Roman" w:cs="Times New Roman"/>
                <w:szCs w:val="21"/>
                <w:vertAlign w:val="subscript"/>
              </w:rPr>
              <w:t>2</w:t>
            </w:r>
            <w:r>
              <w:rPr>
                <w:rFonts w:hint="default" w:ascii="Times New Roman" w:hAnsi="Times New Roman" w:cs="Times New Roman"/>
                <w:szCs w:val="21"/>
              </w:rPr>
              <w:t>O</w:t>
            </w:r>
            <w:r>
              <w:rPr>
                <w:rFonts w:hint="default" w:ascii="Times New Roman" w:hAnsi="Times New Roman" w:cs="Times New Roman"/>
                <w:szCs w:val="21"/>
                <w:vertAlign w:val="subscript"/>
              </w:rPr>
              <w:t>5</w:t>
            </w:r>
            <w:r>
              <w:rPr>
                <w:rFonts w:hint="default" w:ascii="Times New Roman" w:hAnsi="Times New Roman" w:cs="Times New Roman"/>
                <w:szCs w:val="21"/>
              </w:rPr>
              <w:t>计）</w:t>
            </w:r>
          </w:p>
        </w:tc>
        <w:tc>
          <w:tcPr>
            <w:tcW w:w="1722" w:type="pct"/>
            <w:vMerge w:val="continue"/>
            <w:noWrap/>
            <w:vAlign w:val="center"/>
          </w:tcPr>
          <w:p>
            <w:pPr>
              <w:spacing w:line="440" w:lineRule="exact"/>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3</w:t>
            </w:r>
          </w:p>
        </w:tc>
        <w:tc>
          <w:tcPr>
            <w:tcW w:w="2866" w:type="pct"/>
            <w:noWrap/>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有效磷（以P</w:t>
            </w:r>
            <w:r>
              <w:rPr>
                <w:rFonts w:hint="default" w:ascii="Times New Roman" w:hAnsi="Times New Roman" w:cs="Times New Roman"/>
                <w:szCs w:val="21"/>
                <w:vertAlign w:val="subscript"/>
              </w:rPr>
              <w:t>2</w:t>
            </w:r>
            <w:r>
              <w:rPr>
                <w:rFonts w:hint="default" w:ascii="Times New Roman" w:hAnsi="Times New Roman" w:cs="Times New Roman"/>
                <w:szCs w:val="21"/>
              </w:rPr>
              <w:t>O</w:t>
            </w:r>
            <w:r>
              <w:rPr>
                <w:rFonts w:hint="default" w:ascii="Times New Roman" w:hAnsi="Times New Roman" w:cs="Times New Roman"/>
                <w:szCs w:val="21"/>
                <w:vertAlign w:val="subscript"/>
              </w:rPr>
              <w:t>5</w:t>
            </w:r>
            <w:r>
              <w:rPr>
                <w:rFonts w:hint="default" w:ascii="Times New Roman" w:hAnsi="Times New Roman" w:cs="Times New Roman"/>
                <w:szCs w:val="21"/>
              </w:rPr>
              <w:t>计）</w:t>
            </w:r>
          </w:p>
        </w:tc>
        <w:tc>
          <w:tcPr>
            <w:tcW w:w="1722" w:type="pct"/>
            <w:vMerge w:val="continue"/>
            <w:noWrap/>
            <w:vAlign w:val="center"/>
          </w:tcPr>
          <w:p>
            <w:pPr>
              <w:spacing w:line="440" w:lineRule="exact"/>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4</w:t>
            </w:r>
          </w:p>
        </w:tc>
        <w:tc>
          <w:tcPr>
            <w:tcW w:w="2866"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游离酸</w:t>
            </w:r>
            <w:r>
              <w:rPr>
                <w:rFonts w:hint="default" w:ascii="Times New Roman" w:hAnsi="Times New Roman" w:cs="Times New Roman"/>
                <w:szCs w:val="21"/>
              </w:rPr>
              <w:t>（以P</w:t>
            </w:r>
            <w:r>
              <w:rPr>
                <w:rFonts w:hint="default" w:ascii="Times New Roman" w:hAnsi="Times New Roman" w:cs="Times New Roman"/>
                <w:szCs w:val="21"/>
                <w:vertAlign w:val="subscript"/>
              </w:rPr>
              <w:t>2</w:t>
            </w:r>
            <w:r>
              <w:rPr>
                <w:rFonts w:hint="default" w:ascii="Times New Roman" w:hAnsi="Times New Roman" w:cs="Times New Roman"/>
                <w:szCs w:val="21"/>
              </w:rPr>
              <w:t>O</w:t>
            </w:r>
            <w:r>
              <w:rPr>
                <w:rFonts w:hint="default" w:ascii="Times New Roman" w:hAnsi="Times New Roman" w:cs="Times New Roman"/>
                <w:szCs w:val="21"/>
                <w:vertAlign w:val="subscript"/>
              </w:rPr>
              <w:t>5</w:t>
            </w:r>
            <w:r>
              <w:rPr>
                <w:rFonts w:hint="default" w:ascii="Times New Roman" w:hAnsi="Times New Roman" w:cs="Times New Roman"/>
                <w:szCs w:val="21"/>
              </w:rPr>
              <w:t>计）</w:t>
            </w:r>
          </w:p>
        </w:tc>
        <w:tc>
          <w:tcPr>
            <w:tcW w:w="1722" w:type="pct"/>
            <w:vMerge w:val="continue"/>
            <w:noWrap/>
            <w:vAlign w:val="center"/>
          </w:tcPr>
          <w:p>
            <w:pPr>
              <w:spacing w:line="440" w:lineRule="exact"/>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5</w:t>
            </w:r>
          </w:p>
        </w:tc>
        <w:tc>
          <w:tcPr>
            <w:tcW w:w="2866"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游离水</w:t>
            </w:r>
          </w:p>
        </w:tc>
        <w:tc>
          <w:tcPr>
            <w:tcW w:w="1722" w:type="pct"/>
            <w:vMerge w:val="continue"/>
            <w:noWrap/>
            <w:vAlign w:val="center"/>
          </w:tcPr>
          <w:p>
            <w:pPr>
              <w:spacing w:line="440" w:lineRule="exact"/>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6</w:t>
            </w:r>
          </w:p>
        </w:tc>
        <w:tc>
          <w:tcPr>
            <w:tcW w:w="2866"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粒度（2.00mm～4.75mm）</w:t>
            </w:r>
            <w:r>
              <w:rPr>
                <w:rFonts w:hint="default" w:ascii="Times New Roman" w:hAnsi="Times New Roman" w:cs="Times New Roman"/>
                <w:bCs/>
                <w:sz w:val="24"/>
                <w:vertAlign w:val="superscript"/>
              </w:rPr>
              <w:t>a</w:t>
            </w:r>
          </w:p>
        </w:tc>
        <w:tc>
          <w:tcPr>
            <w:tcW w:w="1722" w:type="pct"/>
            <w:vMerge w:val="continue"/>
            <w:noWrap/>
            <w:vAlign w:val="center"/>
          </w:tcPr>
          <w:p>
            <w:pPr>
              <w:spacing w:line="440" w:lineRule="exact"/>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7</w:t>
            </w:r>
          </w:p>
        </w:tc>
        <w:tc>
          <w:tcPr>
            <w:tcW w:w="2866" w:type="pct"/>
            <w:noWrap/>
            <w:vAlign w:val="center"/>
          </w:tcPr>
          <w:p>
            <w:pPr>
              <w:adjustRightIn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总砷</w:t>
            </w:r>
          </w:p>
        </w:tc>
        <w:tc>
          <w:tcPr>
            <w:tcW w:w="1722" w:type="pct"/>
            <w:noWrap/>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8</w:t>
            </w:r>
          </w:p>
        </w:tc>
        <w:tc>
          <w:tcPr>
            <w:tcW w:w="2866" w:type="pct"/>
            <w:noWrap/>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bCs/>
                <w:szCs w:val="21"/>
              </w:rPr>
              <w:t>总镉</w:t>
            </w:r>
          </w:p>
        </w:tc>
        <w:tc>
          <w:tcPr>
            <w:tcW w:w="1722" w:type="pct"/>
            <w:noWrap/>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9</w:t>
            </w:r>
          </w:p>
        </w:tc>
        <w:tc>
          <w:tcPr>
            <w:tcW w:w="2866" w:type="pct"/>
            <w:noWrap/>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bCs/>
                <w:szCs w:val="21"/>
              </w:rPr>
              <w:t>总铅</w:t>
            </w:r>
          </w:p>
        </w:tc>
        <w:tc>
          <w:tcPr>
            <w:tcW w:w="1722" w:type="pct"/>
            <w:noWrap/>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10</w:t>
            </w:r>
          </w:p>
        </w:tc>
        <w:tc>
          <w:tcPr>
            <w:tcW w:w="2866" w:type="pct"/>
            <w:noWrap/>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bCs/>
                <w:szCs w:val="21"/>
              </w:rPr>
              <w:t>总铬</w:t>
            </w:r>
          </w:p>
        </w:tc>
        <w:tc>
          <w:tcPr>
            <w:tcW w:w="1722" w:type="pct"/>
            <w:noWrap/>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11</w:t>
            </w:r>
          </w:p>
        </w:tc>
        <w:tc>
          <w:tcPr>
            <w:tcW w:w="2866" w:type="pct"/>
            <w:noWrap/>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bCs/>
                <w:szCs w:val="21"/>
              </w:rPr>
              <w:t>总汞</w:t>
            </w:r>
          </w:p>
        </w:tc>
        <w:tc>
          <w:tcPr>
            <w:tcW w:w="1722" w:type="pct"/>
            <w:noWrap/>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12</w:t>
            </w:r>
          </w:p>
        </w:tc>
        <w:tc>
          <w:tcPr>
            <w:tcW w:w="2866" w:type="pct"/>
            <w:noWrap/>
            <w:vAlign w:val="center"/>
          </w:tcPr>
          <w:p>
            <w:pPr>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总铊</w:t>
            </w:r>
          </w:p>
        </w:tc>
        <w:tc>
          <w:tcPr>
            <w:tcW w:w="1722" w:type="pct"/>
            <w:noWrap/>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13</w:t>
            </w:r>
          </w:p>
        </w:tc>
        <w:tc>
          <w:tcPr>
            <w:tcW w:w="2866" w:type="pct"/>
            <w:noWrap/>
            <w:vAlign w:val="center"/>
          </w:tcPr>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color w:val="000000"/>
                <w:kern w:val="0"/>
                <w:szCs w:val="21"/>
              </w:rPr>
              <w:t>包装标识(养分含量、名称中的禁用语</w:t>
            </w:r>
            <w:r>
              <w:rPr>
                <w:rFonts w:hint="eastAsia" w:cs="Times New Roman"/>
                <w:color w:val="000000"/>
                <w:kern w:val="0"/>
                <w:szCs w:val="21"/>
                <w:lang w:val="en-US" w:eastAsia="zh-CN"/>
              </w:rPr>
              <w:t>等</w:t>
            </w:r>
            <w:r>
              <w:rPr>
                <w:rFonts w:hint="default" w:ascii="Times New Roman" w:hAnsi="Times New Roman" w:cs="Times New Roman"/>
                <w:color w:val="000000"/>
                <w:kern w:val="0"/>
                <w:szCs w:val="21"/>
              </w:rPr>
              <w:t>)</w:t>
            </w:r>
          </w:p>
        </w:tc>
        <w:tc>
          <w:tcPr>
            <w:tcW w:w="1722" w:type="pct"/>
            <w:noWrap/>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18382-2021</w:t>
            </w:r>
          </w:p>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21634-2020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3"/>
            <w:noWrap/>
            <w:vAlign w:val="center"/>
          </w:tcPr>
          <w:p>
            <w:pPr>
              <w:snapToGrid w:val="0"/>
              <w:spacing w:line="440" w:lineRule="exact"/>
              <w:rPr>
                <w:rFonts w:hint="default" w:ascii="Times New Roman" w:hAnsi="Times New Roman" w:cs="Times New Roman"/>
                <w:bCs/>
                <w:szCs w:val="21"/>
              </w:rPr>
            </w:pPr>
            <w:r>
              <w:rPr>
                <w:rFonts w:hint="default" w:ascii="Times New Roman" w:hAnsi="Times New Roman" w:cs="Times New Roman"/>
                <w:szCs w:val="21"/>
              </w:rPr>
              <w:t>a 粉状产品此项目不做检验和判定</w:t>
            </w:r>
          </w:p>
        </w:tc>
      </w:tr>
    </w:tbl>
    <w:p>
      <w:pPr>
        <w:snapToGrid w:val="0"/>
        <w:spacing w:line="440" w:lineRule="exact"/>
        <w:jc w:val="center"/>
        <w:rPr>
          <w:rFonts w:hint="default" w:ascii="Times New Roman" w:hAnsi="Times New Roman" w:cs="Times New Roman"/>
          <w:bCs/>
          <w:szCs w:val="21"/>
        </w:rPr>
      </w:pPr>
    </w:p>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表4 钙镁磷钾肥</w:t>
      </w:r>
    </w:p>
    <w:tbl>
      <w:tblPr>
        <w:tblStyle w:val="9"/>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5190"/>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30" w:type="dxa"/>
            <w:vAlign w:val="center"/>
          </w:tcPr>
          <w:p>
            <w:pPr>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序号</w:t>
            </w:r>
          </w:p>
        </w:tc>
        <w:tc>
          <w:tcPr>
            <w:tcW w:w="5190" w:type="dxa"/>
            <w:vAlign w:val="center"/>
          </w:tcPr>
          <w:p>
            <w:pPr>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检验项目</w:t>
            </w:r>
          </w:p>
        </w:tc>
        <w:tc>
          <w:tcPr>
            <w:tcW w:w="3113" w:type="dxa"/>
            <w:vAlign w:val="center"/>
          </w:tcPr>
          <w:p>
            <w:pPr>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检验方法标准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519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有效钾（K</w:t>
            </w:r>
            <w:r>
              <w:rPr>
                <w:rFonts w:hint="default" w:ascii="Times New Roman" w:hAnsi="Times New Roman" w:cs="Times New Roman"/>
                <w:szCs w:val="21"/>
                <w:vertAlign w:val="subscript"/>
              </w:rPr>
              <w:t>2</w:t>
            </w:r>
            <w:r>
              <w:rPr>
                <w:rFonts w:hint="default" w:ascii="Times New Roman" w:hAnsi="Times New Roman" w:cs="Times New Roman"/>
                <w:szCs w:val="21"/>
              </w:rPr>
              <w:t>O）含量</w:t>
            </w:r>
          </w:p>
        </w:tc>
        <w:tc>
          <w:tcPr>
            <w:tcW w:w="3113" w:type="dxa"/>
            <w:vMerge w:val="restart"/>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HG/T 2598-1994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519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总养分（P</w:t>
            </w:r>
            <w:r>
              <w:rPr>
                <w:rFonts w:hint="default" w:ascii="Times New Roman" w:hAnsi="Times New Roman" w:cs="Times New Roman"/>
                <w:szCs w:val="21"/>
                <w:vertAlign w:val="subscript"/>
              </w:rPr>
              <w:t>2</w:t>
            </w:r>
            <w:r>
              <w:rPr>
                <w:rFonts w:hint="default" w:ascii="Times New Roman" w:hAnsi="Times New Roman" w:cs="Times New Roman"/>
                <w:szCs w:val="21"/>
              </w:rPr>
              <w:t>O</w:t>
            </w:r>
            <w:r>
              <w:rPr>
                <w:rFonts w:hint="default" w:ascii="Times New Roman" w:hAnsi="Times New Roman" w:cs="Times New Roman"/>
                <w:szCs w:val="21"/>
                <w:vertAlign w:val="subscript"/>
              </w:rPr>
              <w:t>5</w:t>
            </w:r>
            <w:r>
              <w:rPr>
                <w:rFonts w:hint="default" w:ascii="Times New Roman" w:hAnsi="Times New Roman" w:cs="Times New Roman"/>
                <w:szCs w:val="21"/>
              </w:rPr>
              <w:t>+K</w:t>
            </w:r>
            <w:r>
              <w:rPr>
                <w:rFonts w:hint="default" w:ascii="Times New Roman" w:hAnsi="Times New Roman" w:cs="Times New Roman"/>
                <w:szCs w:val="21"/>
                <w:vertAlign w:val="subscript"/>
              </w:rPr>
              <w:t>2</w:t>
            </w:r>
            <w:r>
              <w:rPr>
                <w:rFonts w:hint="default" w:ascii="Times New Roman" w:hAnsi="Times New Roman" w:cs="Times New Roman"/>
                <w:szCs w:val="21"/>
              </w:rPr>
              <w:t>O）含量</w:t>
            </w:r>
          </w:p>
        </w:tc>
        <w:tc>
          <w:tcPr>
            <w:tcW w:w="3113" w:type="dxa"/>
            <w:vMerge w:val="continue"/>
            <w:vAlign w:val="center"/>
          </w:tcPr>
          <w:p>
            <w:pPr>
              <w:spacing w:line="440" w:lineRule="exact"/>
              <w:jc w:val="cente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519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水分</w:t>
            </w:r>
          </w:p>
        </w:tc>
        <w:tc>
          <w:tcPr>
            <w:tcW w:w="3113" w:type="dxa"/>
            <w:vMerge w:val="continue"/>
            <w:vAlign w:val="center"/>
          </w:tcPr>
          <w:p>
            <w:pPr>
              <w:spacing w:line="440" w:lineRule="exact"/>
              <w:jc w:val="cente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519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细度：通过250μm标准筛</w:t>
            </w:r>
          </w:p>
        </w:tc>
        <w:tc>
          <w:tcPr>
            <w:tcW w:w="3113" w:type="dxa"/>
            <w:vMerge w:val="continue"/>
            <w:vAlign w:val="center"/>
          </w:tcPr>
          <w:p>
            <w:pPr>
              <w:spacing w:line="440" w:lineRule="exact"/>
              <w:jc w:val="cente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5</w:t>
            </w:r>
          </w:p>
        </w:tc>
        <w:tc>
          <w:tcPr>
            <w:tcW w:w="5190"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总砷</w:t>
            </w:r>
          </w:p>
        </w:tc>
        <w:tc>
          <w:tcPr>
            <w:tcW w:w="3113"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6</w:t>
            </w:r>
          </w:p>
        </w:tc>
        <w:tc>
          <w:tcPr>
            <w:tcW w:w="5190"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总镉</w:t>
            </w:r>
          </w:p>
        </w:tc>
        <w:tc>
          <w:tcPr>
            <w:tcW w:w="3113"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7</w:t>
            </w:r>
          </w:p>
        </w:tc>
        <w:tc>
          <w:tcPr>
            <w:tcW w:w="5190"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总铅</w:t>
            </w:r>
          </w:p>
        </w:tc>
        <w:tc>
          <w:tcPr>
            <w:tcW w:w="3113"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8</w:t>
            </w:r>
          </w:p>
        </w:tc>
        <w:tc>
          <w:tcPr>
            <w:tcW w:w="5190"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总铬</w:t>
            </w:r>
          </w:p>
        </w:tc>
        <w:tc>
          <w:tcPr>
            <w:tcW w:w="3113"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9</w:t>
            </w:r>
          </w:p>
        </w:tc>
        <w:tc>
          <w:tcPr>
            <w:tcW w:w="5190"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总汞</w:t>
            </w:r>
          </w:p>
        </w:tc>
        <w:tc>
          <w:tcPr>
            <w:tcW w:w="3113"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10</w:t>
            </w:r>
          </w:p>
        </w:tc>
        <w:tc>
          <w:tcPr>
            <w:tcW w:w="5190"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总铊</w:t>
            </w:r>
          </w:p>
        </w:tc>
        <w:tc>
          <w:tcPr>
            <w:tcW w:w="3113" w:type="dxa"/>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73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11</w:t>
            </w:r>
          </w:p>
        </w:tc>
        <w:tc>
          <w:tcPr>
            <w:tcW w:w="5190"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color w:val="000000"/>
                <w:kern w:val="0"/>
                <w:szCs w:val="21"/>
              </w:rPr>
              <w:t>包装标识(养分含量、名称中的禁用语</w:t>
            </w:r>
            <w:r>
              <w:rPr>
                <w:rFonts w:hint="eastAsia" w:cs="Times New Roman"/>
                <w:color w:val="000000"/>
                <w:kern w:val="0"/>
                <w:szCs w:val="21"/>
                <w:lang w:val="en-US" w:eastAsia="zh-CN"/>
              </w:rPr>
              <w:t>等</w:t>
            </w:r>
            <w:r>
              <w:rPr>
                <w:rFonts w:hint="default" w:ascii="Times New Roman" w:hAnsi="Times New Roman" w:cs="Times New Roman"/>
                <w:color w:val="000000"/>
                <w:kern w:val="0"/>
                <w:szCs w:val="21"/>
              </w:rPr>
              <w:t>)</w:t>
            </w:r>
          </w:p>
        </w:tc>
        <w:tc>
          <w:tcPr>
            <w:tcW w:w="3113" w:type="dxa"/>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18382-2021</w:t>
            </w:r>
          </w:p>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HG/T 2598-1994</w:t>
            </w:r>
          </w:p>
        </w:tc>
      </w:tr>
    </w:tbl>
    <w:p>
      <w:pPr>
        <w:snapToGrid w:val="0"/>
        <w:spacing w:line="440" w:lineRule="exact"/>
        <w:jc w:val="center"/>
        <w:rPr>
          <w:rFonts w:hint="default" w:ascii="Times New Roman" w:hAnsi="Times New Roman" w:cs="Times New Roman"/>
          <w:bCs/>
          <w:szCs w:val="21"/>
        </w:rPr>
      </w:pPr>
    </w:p>
    <w:p>
      <w:pPr>
        <w:snapToGrid w:val="0"/>
        <w:spacing w:line="440" w:lineRule="exact"/>
        <w:jc w:val="center"/>
        <w:rPr>
          <w:rFonts w:hint="default" w:ascii="Times New Roman" w:hAnsi="Times New Roman" w:cs="Times New Roman"/>
          <w:bCs/>
          <w:szCs w:val="21"/>
        </w:rPr>
      </w:pPr>
      <w:r>
        <w:rPr>
          <w:rFonts w:hint="default" w:ascii="Times New Roman" w:hAnsi="Times New Roman" w:cs="Times New Roman"/>
          <w:bCs/>
          <w:szCs w:val="21"/>
        </w:rPr>
        <w:t xml:space="preserve">表5 </w:t>
      </w:r>
      <w:r>
        <w:rPr>
          <w:rFonts w:hint="default" w:ascii="Times New Roman" w:hAnsi="Times New Roman" w:cs="Times New Roman"/>
          <w:szCs w:val="21"/>
        </w:rPr>
        <w:t>肥料级磷酸氢钙</w:t>
      </w:r>
    </w:p>
    <w:tbl>
      <w:tblPr>
        <w:tblStyle w:val="9"/>
        <w:tblW w:w="9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5205"/>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37" w:type="dxa"/>
            <w:vMerge w:val="restart"/>
            <w:vAlign w:val="center"/>
          </w:tcPr>
          <w:p>
            <w:pPr>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序号</w:t>
            </w:r>
          </w:p>
        </w:tc>
        <w:tc>
          <w:tcPr>
            <w:tcW w:w="5205" w:type="dxa"/>
            <w:vMerge w:val="restart"/>
            <w:vAlign w:val="center"/>
          </w:tcPr>
          <w:p>
            <w:pPr>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检验项目</w:t>
            </w:r>
          </w:p>
        </w:tc>
        <w:tc>
          <w:tcPr>
            <w:tcW w:w="3105" w:type="dxa"/>
            <w:vMerge w:val="restart"/>
            <w:vAlign w:val="center"/>
          </w:tcPr>
          <w:p>
            <w:pPr>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检验方法标准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37" w:type="dxa"/>
            <w:vMerge w:val="continue"/>
            <w:vAlign w:val="center"/>
          </w:tcPr>
          <w:p>
            <w:pPr>
              <w:spacing w:line="440" w:lineRule="exact"/>
              <w:jc w:val="center"/>
              <w:rPr>
                <w:rFonts w:hint="default" w:ascii="Times New Roman" w:hAnsi="Times New Roman" w:cs="Times New Roman"/>
                <w:szCs w:val="21"/>
              </w:rPr>
            </w:pPr>
          </w:p>
        </w:tc>
        <w:tc>
          <w:tcPr>
            <w:tcW w:w="5205" w:type="dxa"/>
            <w:vMerge w:val="continue"/>
            <w:vAlign w:val="center"/>
          </w:tcPr>
          <w:p>
            <w:pPr>
              <w:spacing w:line="440" w:lineRule="exact"/>
              <w:jc w:val="center"/>
              <w:rPr>
                <w:rFonts w:hint="default" w:ascii="Times New Roman" w:hAnsi="Times New Roman" w:cs="Times New Roman"/>
                <w:szCs w:val="21"/>
              </w:rPr>
            </w:pPr>
          </w:p>
        </w:tc>
        <w:tc>
          <w:tcPr>
            <w:tcW w:w="3105" w:type="dxa"/>
            <w:vMerge w:val="continue"/>
            <w:vAlign w:val="center"/>
          </w:tcPr>
          <w:p>
            <w:pPr>
              <w:spacing w:line="440" w:lineRule="exact"/>
              <w:jc w:val="cente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5205"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有效五氧化二磷（P</w:t>
            </w:r>
            <w:r>
              <w:rPr>
                <w:rFonts w:hint="default" w:ascii="Times New Roman" w:hAnsi="Times New Roman" w:cs="Times New Roman"/>
                <w:szCs w:val="21"/>
                <w:vertAlign w:val="subscript"/>
              </w:rPr>
              <w:t>2</w:t>
            </w:r>
            <w:r>
              <w:rPr>
                <w:rFonts w:hint="default" w:ascii="Times New Roman" w:hAnsi="Times New Roman" w:cs="Times New Roman"/>
                <w:szCs w:val="21"/>
              </w:rPr>
              <w:t>O</w:t>
            </w:r>
            <w:r>
              <w:rPr>
                <w:rFonts w:hint="default" w:ascii="Times New Roman" w:hAnsi="Times New Roman" w:cs="Times New Roman"/>
                <w:szCs w:val="21"/>
                <w:vertAlign w:val="subscript"/>
              </w:rPr>
              <w:t>5</w:t>
            </w:r>
            <w:r>
              <w:rPr>
                <w:rFonts w:hint="default" w:ascii="Times New Roman" w:hAnsi="Times New Roman" w:cs="Times New Roman"/>
                <w:szCs w:val="21"/>
              </w:rPr>
              <w:t>）含量</w:t>
            </w:r>
          </w:p>
        </w:tc>
        <w:tc>
          <w:tcPr>
            <w:tcW w:w="3105" w:type="dxa"/>
            <w:vMerge w:val="restart"/>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HG/T 3275-1999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5205"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游离水分含量</w:t>
            </w:r>
          </w:p>
        </w:tc>
        <w:tc>
          <w:tcPr>
            <w:tcW w:w="3105" w:type="dxa"/>
            <w:vMerge w:val="continue"/>
            <w:vAlign w:val="center"/>
          </w:tcPr>
          <w:p>
            <w:pPr>
              <w:spacing w:line="440" w:lineRule="exact"/>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5205"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pH值（5g试样加入50mL水中）</w:t>
            </w:r>
          </w:p>
        </w:tc>
        <w:tc>
          <w:tcPr>
            <w:tcW w:w="3105" w:type="dxa"/>
            <w:vMerge w:val="continue"/>
            <w:vAlign w:val="center"/>
          </w:tcPr>
          <w:p>
            <w:pPr>
              <w:spacing w:line="440" w:lineRule="exact"/>
              <w:jc w:val="center"/>
              <w:rPr>
                <w:rFonts w:hint="default" w:ascii="Times New Roman" w:hAnsi="Times New Roman"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5205"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总砷</w:t>
            </w:r>
          </w:p>
        </w:tc>
        <w:tc>
          <w:tcPr>
            <w:tcW w:w="3105"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5</w:t>
            </w:r>
          </w:p>
        </w:tc>
        <w:tc>
          <w:tcPr>
            <w:tcW w:w="5205"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总镉</w:t>
            </w:r>
          </w:p>
        </w:tc>
        <w:tc>
          <w:tcPr>
            <w:tcW w:w="3105"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6</w:t>
            </w:r>
          </w:p>
        </w:tc>
        <w:tc>
          <w:tcPr>
            <w:tcW w:w="5205"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总铅</w:t>
            </w:r>
          </w:p>
        </w:tc>
        <w:tc>
          <w:tcPr>
            <w:tcW w:w="3105"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7</w:t>
            </w:r>
          </w:p>
        </w:tc>
        <w:tc>
          <w:tcPr>
            <w:tcW w:w="5205"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总铬</w:t>
            </w:r>
          </w:p>
        </w:tc>
        <w:tc>
          <w:tcPr>
            <w:tcW w:w="3105"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8</w:t>
            </w:r>
          </w:p>
        </w:tc>
        <w:tc>
          <w:tcPr>
            <w:tcW w:w="5205"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总汞</w:t>
            </w:r>
          </w:p>
        </w:tc>
        <w:tc>
          <w:tcPr>
            <w:tcW w:w="3105" w:type="dxa"/>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9</w:t>
            </w:r>
          </w:p>
        </w:tc>
        <w:tc>
          <w:tcPr>
            <w:tcW w:w="5205"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总铊</w:t>
            </w:r>
          </w:p>
        </w:tc>
        <w:tc>
          <w:tcPr>
            <w:tcW w:w="3105" w:type="dxa"/>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szCs w:val="21"/>
              </w:rPr>
              <w:t>10</w:t>
            </w:r>
          </w:p>
        </w:tc>
        <w:tc>
          <w:tcPr>
            <w:tcW w:w="5205" w:type="dxa"/>
            <w:vAlign w:val="center"/>
          </w:tcPr>
          <w:p>
            <w:pPr>
              <w:spacing w:line="440" w:lineRule="exact"/>
              <w:jc w:val="center"/>
              <w:rPr>
                <w:rFonts w:hint="default" w:ascii="Times New Roman" w:hAnsi="Times New Roman" w:cs="Times New Roman"/>
                <w:szCs w:val="21"/>
              </w:rPr>
            </w:pPr>
            <w:r>
              <w:rPr>
                <w:rFonts w:hint="default" w:ascii="Times New Roman" w:hAnsi="Times New Roman" w:cs="Times New Roman"/>
                <w:color w:val="000000"/>
                <w:kern w:val="0"/>
                <w:szCs w:val="21"/>
              </w:rPr>
              <w:t>包装标识(养分含量、名称中的禁用语</w:t>
            </w:r>
            <w:r>
              <w:rPr>
                <w:rFonts w:hint="eastAsia" w:cs="Times New Roman"/>
                <w:color w:val="000000"/>
                <w:kern w:val="0"/>
                <w:szCs w:val="21"/>
                <w:lang w:val="en-US" w:eastAsia="zh-CN"/>
              </w:rPr>
              <w:t>等</w:t>
            </w:r>
            <w:r>
              <w:rPr>
                <w:rFonts w:hint="default" w:ascii="Times New Roman" w:hAnsi="Times New Roman" w:cs="Times New Roman"/>
                <w:color w:val="000000"/>
                <w:kern w:val="0"/>
                <w:szCs w:val="21"/>
              </w:rPr>
              <w:t>)</w:t>
            </w:r>
          </w:p>
        </w:tc>
        <w:tc>
          <w:tcPr>
            <w:tcW w:w="3105" w:type="dxa"/>
            <w:vAlign w:val="center"/>
          </w:tcPr>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18382-2021</w:t>
            </w:r>
          </w:p>
          <w:p>
            <w:pPr>
              <w:spacing w:line="440" w:lineRule="exact"/>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HG/T 3275-1999</w:t>
            </w:r>
          </w:p>
        </w:tc>
      </w:tr>
    </w:tbl>
    <w:p>
      <w:pPr>
        <w:adjustRightInd w:val="0"/>
        <w:snapToGrid w:val="0"/>
        <w:spacing w:line="440" w:lineRule="exact"/>
        <w:ind w:firstLine="424" w:firstLineChars="202"/>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pPr>
        <w:snapToGrid w:val="0"/>
        <w:spacing w:line="440" w:lineRule="exact"/>
        <w:rPr>
          <w:rFonts w:hint="default" w:ascii="Times New Roman" w:hAnsi="Times New Roman" w:cs="Times New Roman"/>
          <w:bCs/>
          <w:color w:val="000000"/>
          <w:szCs w:val="21"/>
        </w:rPr>
      </w:pPr>
      <w:r>
        <w:rPr>
          <w:rFonts w:hint="default" w:ascii="Times New Roman" w:hAnsi="Times New Roman" w:cs="Times New Roman"/>
          <w:color w:val="000000"/>
          <w:szCs w:val="21"/>
        </w:rPr>
        <w:t>3.1依据标准</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 xml:space="preserve">GB 18382-2021 肥料标识 内容和要求 </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 38400-2019 肥料中有毒有害物质的限量要求</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GB/T 20412-2021 钙镁磷肥</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GB/T 20413-2017 过磷酸钙</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GB/T 21634-2020重过磷酸钙</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HG/T 2598-1994钙镁磷钾肥</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HG/T 3275-1999肥料级磷酸氢钙</w:t>
      </w:r>
    </w:p>
    <w:p>
      <w:pPr>
        <w:spacing w:line="440" w:lineRule="exact"/>
        <w:ind w:firstLine="420" w:firstLineChars="200"/>
        <w:rPr>
          <w:rFonts w:hint="default" w:ascii="Times New Roman" w:hAnsi="Times New Roman" w:cs="Times New Roman"/>
          <w:bCs/>
          <w:strike/>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440" w:lineRule="exact"/>
        <w:ind w:firstLine="420" w:firstLineChars="200"/>
        <w:rPr>
          <w:rFonts w:hint="default" w:ascii="Times New Roman" w:hAnsi="Times New Roman" w:cs="Times New Roman"/>
          <w:color w:val="000000"/>
          <w:szCs w:val="21"/>
        </w:rPr>
      </w:pPr>
    </w:p>
    <w:p>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pPr>
        <w:snapToGrid w:val="0"/>
        <w:spacing w:line="440" w:lineRule="exact"/>
        <w:ind w:firstLine="42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本细则代替《贵州省市场</w:t>
      </w:r>
      <w:r>
        <w:rPr>
          <w:rFonts w:hint="eastAsia" w:cs="Times New Roman"/>
          <w:color w:val="000000" w:themeColor="text1"/>
          <w:lang w:val="en-US" w:eastAsia="zh-CN"/>
          <w14:textFill>
            <w14:solidFill>
              <w14:schemeClr w14:val="tx1"/>
            </w14:solidFill>
          </w14:textFill>
        </w:rPr>
        <w:t>监督管理局</w:t>
      </w:r>
      <w:r>
        <w:rPr>
          <w:rFonts w:hint="default" w:ascii="Times New Roman" w:hAnsi="Times New Roman" w:cs="Times New Roman"/>
          <w:color w:val="000000" w:themeColor="text1"/>
          <w:lang w:eastAsia="zh-CN"/>
          <w14:textFill>
            <w14:solidFill>
              <w14:schemeClr w14:val="tx1"/>
            </w14:solidFill>
          </w14:textFill>
        </w:rPr>
        <w:t>关于发布</w:t>
      </w:r>
      <w:r>
        <w:rPr>
          <w:rFonts w:hint="eastAsia" w:cs="Times New Roman"/>
          <w:color w:val="000000" w:themeColor="text1"/>
          <w:lang w:val="en-US" w:eastAsia="zh-CN"/>
          <w14:textFill>
            <w14:solidFill>
              <w14:schemeClr w14:val="tx1"/>
            </w14:solidFill>
          </w14:textFill>
        </w:rPr>
        <w:t>贵州省</w:t>
      </w:r>
      <w:r>
        <w:rPr>
          <w:rFonts w:hint="default" w:ascii="Times New Roman" w:hAnsi="Times New Roman" w:cs="Times New Roman"/>
          <w:color w:val="000000" w:themeColor="text1"/>
          <w:lang w:eastAsia="zh-CN"/>
          <w14:textFill>
            <w14:solidFill>
              <w14:schemeClr w14:val="tx1"/>
            </w14:solidFill>
          </w14:textFill>
        </w:rPr>
        <w:t>202</w:t>
      </w:r>
      <w:r>
        <w:rPr>
          <w:rFonts w:hint="eastAsia"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年版</w:t>
      </w:r>
      <w:r>
        <w:rPr>
          <w:rFonts w:hint="eastAsia" w:cs="Times New Roman"/>
          <w:color w:val="000000" w:themeColor="text1"/>
          <w:lang w:val="en-US" w:eastAsia="zh-CN"/>
          <w14:textFill>
            <w14:solidFill>
              <w14:schemeClr w14:val="tx1"/>
            </w14:solidFill>
          </w14:textFill>
        </w:rPr>
        <w:t>安抚奶嘴</w:t>
      </w:r>
      <w:r>
        <w:rPr>
          <w:rFonts w:hint="default" w:ascii="Times New Roman" w:hAnsi="Times New Roman" w:cs="Times New Roman"/>
          <w:color w:val="000000" w:themeColor="text1"/>
          <w:lang w:eastAsia="zh-CN"/>
          <w14:textFill>
            <w14:solidFill>
              <w14:schemeClr w14:val="tx1"/>
            </w14:solidFill>
          </w14:textFill>
        </w:rPr>
        <w:t>等1</w:t>
      </w:r>
      <w:r>
        <w:rPr>
          <w:rFonts w:hint="eastAsia" w:cs="Times New Roman"/>
          <w:color w:val="000000" w:themeColor="text1"/>
          <w:lang w:val="en-US" w:eastAsia="zh-CN"/>
          <w14:textFill>
            <w14:solidFill>
              <w14:schemeClr w14:val="tx1"/>
            </w14:solidFill>
          </w14:textFill>
        </w:rPr>
        <w:t>86</w:t>
      </w:r>
      <w:r>
        <w:rPr>
          <w:rFonts w:hint="default" w:ascii="Times New Roman" w:hAnsi="Times New Roman" w:cs="Times New Roman"/>
          <w:color w:val="000000" w:themeColor="text1"/>
          <w:lang w:eastAsia="zh-CN"/>
          <w14:textFill>
            <w14:solidFill>
              <w14:schemeClr w14:val="tx1"/>
            </w14:solidFill>
          </w14:textFill>
        </w:rPr>
        <w:t>种产品质量监督抽查实施细则的</w:t>
      </w:r>
      <w:r>
        <w:rPr>
          <w:rFonts w:hint="eastAsia" w:cs="Times New Roman"/>
          <w:color w:val="000000" w:themeColor="text1"/>
          <w:lang w:val="en-US" w:eastAsia="zh-CN"/>
          <w14:textFill>
            <w14:solidFill>
              <w14:schemeClr w14:val="tx1"/>
            </w14:solidFill>
          </w14:textFill>
        </w:rPr>
        <w:t>通</w:t>
      </w:r>
      <w:r>
        <w:rPr>
          <w:rFonts w:hint="default" w:ascii="Times New Roman" w:hAnsi="Times New Roman" w:cs="Times New Roman"/>
          <w:color w:val="000000" w:themeColor="text1"/>
          <w:lang w:eastAsia="zh-CN"/>
          <w14:textFill>
            <w14:solidFill>
              <w14:schemeClr w14:val="tx1"/>
            </w14:solidFill>
          </w14:textFill>
        </w:rPr>
        <w:t>告》中的</w:t>
      </w:r>
      <w:r>
        <w:rPr>
          <w:rFonts w:hint="default" w:ascii="Times New Roman" w:hAnsi="Times New Roman" w:cs="Times New Roman"/>
          <w:color w:val="000000" w:themeColor="text1"/>
          <w14:textFill>
            <w14:solidFill>
              <w14:schemeClr w14:val="tx1"/>
            </w14:solidFill>
          </w14:textFill>
        </w:rPr>
        <w:t>《贵州省</w:t>
      </w:r>
      <w:r>
        <w:rPr>
          <w:rFonts w:hint="eastAsia" w:ascii="Times New Roman" w:hAnsi="Times New Roman" w:cs="Times New Roman"/>
          <w:color w:val="000000" w:themeColor="text1"/>
          <w:szCs w:val="21"/>
          <w:lang w:val="en-US" w:eastAsia="zh-CN"/>
          <w14:textFill>
            <w14:solidFill>
              <w14:schemeClr w14:val="tx1"/>
            </w14:solidFill>
          </w14:textFill>
        </w:rPr>
        <w:t>磷</w:t>
      </w:r>
      <w:r>
        <w:rPr>
          <w:rFonts w:hint="default" w:ascii="Times New Roman" w:hAnsi="Times New Roman" w:cs="Times New Roman"/>
          <w:color w:val="000000" w:themeColor="text1"/>
          <w:szCs w:val="21"/>
          <w14:textFill>
            <w14:solidFill>
              <w14:schemeClr w14:val="tx1"/>
            </w14:solidFill>
          </w14:textFill>
        </w:rPr>
        <w:t>肥</w:t>
      </w:r>
      <w:r>
        <w:rPr>
          <w:rFonts w:hint="default" w:ascii="Times New Roman" w:hAnsi="Times New Roman" w:cs="Times New Roman"/>
          <w:color w:val="000000" w:themeColor="text1"/>
          <w14:textFill>
            <w14:solidFill>
              <w14:schemeClr w14:val="tx1"/>
            </w14:solidFill>
          </w14:textFill>
        </w:rPr>
        <w:t>产品质量监督抽查实施细则（202</w:t>
      </w:r>
      <w:r>
        <w:rPr>
          <w:rFonts w:hint="eastAsia"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14:textFill>
            <w14:solidFill>
              <w14:schemeClr w14:val="tx1"/>
            </w14:solidFill>
          </w14:textFill>
        </w:rPr>
        <w:t>年版）》。</w:t>
      </w:r>
    </w:p>
    <w:p>
      <w:pPr>
        <w:spacing w:line="440" w:lineRule="exact"/>
        <w:rPr>
          <w:rFonts w:hint="default" w:ascii="Times New Roman" w:hAnsi="Times New Roman" w:eastAsia="黑体" w:cs="Times New Roman"/>
          <w:color w:val="00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en-US"/>
      </w:rPr>
      <w:t>5</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B107E9"/>
    <w:multiLevelType w:val="multilevel"/>
    <w:tmpl w:val="14B107E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934969"/>
    <w:multiLevelType w:val="multilevel"/>
    <w:tmpl w:val="4D93496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ZmM4MTM5MmJlM2EyMDJmZmViNTJiYzBhZGZiMjcifQ=="/>
  </w:docVars>
  <w:rsids>
    <w:rsidRoot w:val="00172A27"/>
    <w:rsid w:val="00000942"/>
    <w:rsid w:val="00010EA9"/>
    <w:rsid w:val="00017870"/>
    <w:rsid w:val="00020AD5"/>
    <w:rsid w:val="000226EC"/>
    <w:rsid w:val="000276A9"/>
    <w:rsid w:val="00047455"/>
    <w:rsid w:val="0005011C"/>
    <w:rsid w:val="00051A44"/>
    <w:rsid w:val="000524E8"/>
    <w:rsid w:val="00071001"/>
    <w:rsid w:val="00073DC1"/>
    <w:rsid w:val="00074506"/>
    <w:rsid w:val="00080749"/>
    <w:rsid w:val="00081CBD"/>
    <w:rsid w:val="00085F04"/>
    <w:rsid w:val="000976DE"/>
    <w:rsid w:val="000B50F1"/>
    <w:rsid w:val="000C0C82"/>
    <w:rsid w:val="000D0007"/>
    <w:rsid w:val="000D4557"/>
    <w:rsid w:val="000F0B81"/>
    <w:rsid w:val="000F3EA2"/>
    <w:rsid w:val="000F43C5"/>
    <w:rsid w:val="000F6E44"/>
    <w:rsid w:val="00103015"/>
    <w:rsid w:val="001035C2"/>
    <w:rsid w:val="00111206"/>
    <w:rsid w:val="001146B2"/>
    <w:rsid w:val="00116CE7"/>
    <w:rsid w:val="001201FA"/>
    <w:rsid w:val="00127A7C"/>
    <w:rsid w:val="00130B81"/>
    <w:rsid w:val="00140AA8"/>
    <w:rsid w:val="0014421B"/>
    <w:rsid w:val="00156794"/>
    <w:rsid w:val="00166DF8"/>
    <w:rsid w:val="001715A9"/>
    <w:rsid w:val="00172A27"/>
    <w:rsid w:val="001745C6"/>
    <w:rsid w:val="00177A5D"/>
    <w:rsid w:val="001809DD"/>
    <w:rsid w:val="00194699"/>
    <w:rsid w:val="001950D6"/>
    <w:rsid w:val="00195EDC"/>
    <w:rsid w:val="001A382C"/>
    <w:rsid w:val="001A64CC"/>
    <w:rsid w:val="001A76A2"/>
    <w:rsid w:val="001B2F4F"/>
    <w:rsid w:val="001B662F"/>
    <w:rsid w:val="001B7F63"/>
    <w:rsid w:val="001C2060"/>
    <w:rsid w:val="001C2CD0"/>
    <w:rsid w:val="001C4F34"/>
    <w:rsid w:val="001C6D90"/>
    <w:rsid w:val="001D1FBC"/>
    <w:rsid w:val="001D6824"/>
    <w:rsid w:val="001F19F4"/>
    <w:rsid w:val="001F4FAC"/>
    <w:rsid w:val="00205CEE"/>
    <w:rsid w:val="00207DDD"/>
    <w:rsid w:val="002110DB"/>
    <w:rsid w:val="0021785F"/>
    <w:rsid w:val="00223317"/>
    <w:rsid w:val="00227025"/>
    <w:rsid w:val="00240199"/>
    <w:rsid w:val="00246D70"/>
    <w:rsid w:val="002470F3"/>
    <w:rsid w:val="00253624"/>
    <w:rsid w:val="002545EF"/>
    <w:rsid w:val="0025593B"/>
    <w:rsid w:val="002571F5"/>
    <w:rsid w:val="00261610"/>
    <w:rsid w:val="00262788"/>
    <w:rsid w:val="00273591"/>
    <w:rsid w:val="00274887"/>
    <w:rsid w:val="00274E3E"/>
    <w:rsid w:val="00281ABD"/>
    <w:rsid w:val="002820B2"/>
    <w:rsid w:val="00293B52"/>
    <w:rsid w:val="00295E2E"/>
    <w:rsid w:val="002A4630"/>
    <w:rsid w:val="002A7D1C"/>
    <w:rsid w:val="002B50E7"/>
    <w:rsid w:val="002C1509"/>
    <w:rsid w:val="002C6D0F"/>
    <w:rsid w:val="002D7F8A"/>
    <w:rsid w:val="002E0D1D"/>
    <w:rsid w:val="002E68A8"/>
    <w:rsid w:val="002F49EA"/>
    <w:rsid w:val="00302A7E"/>
    <w:rsid w:val="00314292"/>
    <w:rsid w:val="003203A3"/>
    <w:rsid w:val="0032503A"/>
    <w:rsid w:val="003369F0"/>
    <w:rsid w:val="00353564"/>
    <w:rsid w:val="0036524B"/>
    <w:rsid w:val="00371567"/>
    <w:rsid w:val="00375E4A"/>
    <w:rsid w:val="003858D6"/>
    <w:rsid w:val="0039208F"/>
    <w:rsid w:val="003B3F2A"/>
    <w:rsid w:val="003C388C"/>
    <w:rsid w:val="003C4CFD"/>
    <w:rsid w:val="003D0118"/>
    <w:rsid w:val="003D1DC7"/>
    <w:rsid w:val="003E4890"/>
    <w:rsid w:val="003E61BF"/>
    <w:rsid w:val="003F03A8"/>
    <w:rsid w:val="00400A65"/>
    <w:rsid w:val="00412456"/>
    <w:rsid w:val="004132E8"/>
    <w:rsid w:val="004208E3"/>
    <w:rsid w:val="00421BC8"/>
    <w:rsid w:val="00421C9B"/>
    <w:rsid w:val="00427D8E"/>
    <w:rsid w:val="0043142C"/>
    <w:rsid w:val="00431D0F"/>
    <w:rsid w:val="00434BE0"/>
    <w:rsid w:val="00441F0A"/>
    <w:rsid w:val="00442A9A"/>
    <w:rsid w:val="00445E86"/>
    <w:rsid w:val="004473BE"/>
    <w:rsid w:val="004532DE"/>
    <w:rsid w:val="00474E04"/>
    <w:rsid w:val="00475152"/>
    <w:rsid w:val="00481380"/>
    <w:rsid w:val="004820E0"/>
    <w:rsid w:val="00487D09"/>
    <w:rsid w:val="00490A9C"/>
    <w:rsid w:val="004A3EA4"/>
    <w:rsid w:val="004B5ACF"/>
    <w:rsid w:val="004C32A1"/>
    <w:rsid w:val="004C3C43"/>
    <w:rsid w:val="004D0C5A"/>
    <w:rsid w:val="004D0E11"/>
    <w:rsid w:val="004D25D5"/>
    <w:rsid w:val="004E1396"/>
    <w:rsid w:val="004E13C4"/>
    <w:rsid w:val="004E2E27"/>
    <w:rsid w:val="004E5230"/>
    <w:rsid w:val="004F1247"/>
    <w:rsid w:val="00515553"/>
    <w:rsid w:val="005228D3"/>
    <w:rsid w:val="00533960"/>
    <w:rsid w:val="00541066"/>
    <w:rsid w:val="0054465D"/>
    <w:rsid w:val="005601FA"/>
    <w:rsid w:val="00560BA9"/>
    <w:rsid w:val="00563EBC"/>
    <w:rsid w:val="0056565E"/>
    <w:rsid w:val="00565BED"/>
    <w:rsid w:val="005830E6"/>
    <w:rsid w:val="005A2E2A"/>
    <w:rsid w:val="005A66CB"/>
    <w:rsid w:val="005C1085"/>
    <w:rsid w:val="005C759E"/>
    <w:rsid w:val="005D10AF"/>
    <w:rsid w:val="005D7A29"/>
    <w:rsid w:val="005E13E8"/>
    <w:rsid w:val="00606C30"/>
    <w:rsid w:val="00613EFC"/>
    <w:rsid w:val="00616DD9"/>
    <w:rsid w:val="00620556"/>
    <w:rsid w:val="00620856"/>
    <w:rsid w:val="006241C7"/>
    <w:rsid w:val="0063183B"/>
    <w:rsid w:val="006367B8"/>
    <w:rsid w:val="00643C90"/>
    <w:rsid w:val="00653090"/>
    <w:rsid w:val="00663D21"/>
    <w:rsid w:val="006661AC"/>
    <w:rsid w:val="00666A57"/>
    <w:rsid w:val="006701D8"/>
    <w:rsid w:val="0067046B"/>
    <w:rsid w:val="00670B99"/>
    <w:rsid w:val="00674598"/>
    <w:rsid w:val="006864FE"/>
    <w:rsid w:val="006A6995"/>
    <w:rsid w:val="006B0B41"/>
    <w:rsid w:val="006B7ACD"/>
    <w:rsid w:val="006C2241"/>
    <w:rsid w:val="006C3A18"/>
    <w:rsid w:val="006C5312"/>
    <w:rsid w:val="006C61CD"/>
    <w:rsid w:val="006E3C22"/>
    <w:rsid w:val="006F0971"/>
    <w:rsid w:val="006F1D66"/>
    <w:rsid w:val="006F612E"/>
    <w:rsid w:val="007035AB"/>
    <w:rsid w:val="007064E0"/>
    <w:rsid w:val="007076A7"/>
    <w:rsid w:val="00710BF3"/>
    <w:rsid w:val="007122D4"/>
    <w:rsid w:val="00712AB3"/>
    <w:rsid w:val="007179EF"/>
    <w:rsid w:val="0072115B"/>
    <w:rsid w:val="0072334C"/>
    <w:rsid w:val="00723479"/>
    <w:rsid w:val="007245E6"/>
    <w:rsid w:val="00727689"/>
    <w:rsid w:val="00730DC8"/>
    <w:rsid w:val="0074174D"/>
    <w:rsid w:val="00743812"/>
    <w:rsid w:val="00746F74"/>
    <w:rsid w:val="00756A15"/>
    <w:rsid w:val="00767618"/>
    <w:rsid w:val="00783695"/>
    <w:rsid w:val="0078517D"/>
    <w:rsid w:val="00792A01"/>
    <w:rsid w:val="007A0EEB"/>
    <w:rsid w:val="007B3BBD"/>
    <w:rsid w:val="007C39FA"/>
    <w:rsid w:val="007D4CB7"/>
    <w:rsid w:val="007D5482"/>
    <w:rsid w:val="007D5622"/>
    <w:rsid w:val="007D7375"/>
    <w:rsid w:val="007E44D9"/>
    <w:rsid w:val="007F1E4E"/>
    <w:rsid w:val="007F7F45"/>
    <w:rsid w:val="0080654F"/>
    <w:rsid w:val="00806B9E"/>
    <w:rsid w:val="0081453E"/>
    <w:rsid w:val="00822423"/>
    <w:rsid w:val="008305B2"/>
    <w:rsid w:val="00830B7D"/>
    <w:rsid w:val="00832480"/>
    <w:rsid w:val="0083350B"/>
    <w:rsid w:val="00833A7C"/>
    <w:rsid w:val="00835F10"/>
    <w:rsid w:val="0084366D"/>
    <w:rsid w:val="008534E8"/>
    <w:rsid w:val="008549FB"/>
    <w:rsid w:val="00854E01"/>
    <w:rsid w:val="00854F6E"/>
    <w:rsid w:val="00870CE4"/>
    <w:rsid w:val="008835C2"/>
    <w:rsid w:val="0089053D"/>
    <w:rsid w:val="00894619"/>
    <w:rsid w:val="00895BEA"/>
    <w:rsid w:val="008A0FF4"/>
    <w:rsid w:val="008A3497"/>
    <w:rsid w:val="008A35DF"/>
    <w:rsid w:val="008A4D10"/>
    <w:rsid w:val="008A5AF6"/>
    <w:rsid w:val="008A5D98"/>
    <w:rsid w:val="008B14D0"/>
    <w:rsid w:val="008B69C6"/>
    <w:rsid w:val="008C1B60"/>
    <w:rsid w:val="008C2DD7"/>
    <w:rsid w:val="008C4EE5"/>
    <w:rsid w:val="008C6467"/>
    <w:rsid w:val="008D4351"/>
    <w:rsid w:val="008E06DB"/>
    <w:rsid w:val="008E6D0D"/>
    <w:rsid w:val="008F02F1"/>
    <w:rsid w:val="008F2CA7"/>
    <w:rsid w:val="0090558A"/>
    <w:rsid w:val="00915EBD"/>
    <w:rsid w:val="00917A54"/>
    <w:rsid w:val="00926104"/>
    <w:rsid w:val="009339AE"/>
    <w:rsid w:val="0094409B"/>
    <w:rsid w:val="009443F6"/>
    <w:rsid w:val="00954167"/>
    <w:rsid w:val="0096498F"/>
    <w:rsid w:val="009659A3"/>
    <w:rsid w:val="00972E10"/>
    <w:rsid w:val="00973B12"/>
    <w:rsid w:val="0097514F"/>
    <w:rsid w:val="00984F3B"/>
    <w:rsid w:val="009C1920"/>
    <w:rsid w:val="009C675A"/>
    <w:rsid w:val="009D29B0"/>
    <w:rsid w:val="009D5082"/>
    <w:rsid w:val="009D6F6B"/>
    <w:rsid w:val="009D7B49"/>
    <w:rsid w:val="009E0E15"/>
    <w:rsid w:val="009E2BF7"/>
    <w:rsid w:val="009E5C5F"/>
    <w:rsid w:val="009E73FD"/>
    <w:rsid w:val="009E7934"/>
    <w:rsid w:val="009F4FA5"/>
    <w:rsid w:val="009F51AC"/>
    <w:rsid w:val="009F6B32"/>
    <w:rsid w:val="00A0606A"/>
    <w:rsid w:val="00A15656"/>
    <w:rsid w:val="00A15CB5"/>
    <w:rsid w:val="00A2258D"/>
    <w:rsid w:val="00A22C79"/>
    <w:rsid w:val="00A37CA7"/>
    <w:rsid w:val="00A40693"/>
    <w:rsid w:val="00A43553"/>
    <w:rsid w:val="00A459AA"/>
    <w:rsid w:val="00A62375"/>
    <w:rsid w:val="00A62B41"/>
    <w:rsid w:val="00A65982"/>
    <w:rsid w:val="00A7137F"/>
    <w:rsid w:val="00A743A3"/>
    <w:rsid w:val="00A87595"/>
    <w:rsid w:val="00A8778B"/>
    <w:rsid w:val="00A91506"/>
    <w:rsid w:val="00A94D7D"/>
    <w:rsid w:val="00AA1AA4"/>
    <w:rsid w:val="00AA2BE0"/>
    <w:rsid w:val="00AA5741"/>
    <w:rsid w:val="00AB41F0"/>
    <w:rsid w:val="00AC1E83"/>
    <w:rsid w:val="00AD088A"/>
    <w:rsid w:val="00AD1654"/>
    <w:rsid w:val="00AE24A4"/>
    <w:rsid w:val="00AE64CD"/>
    <w:rsid w:val="00AF2F38"/>
    <w:rsid w:val="00B11A9D"/>
    <w:rsid w:val="00B4113F"/>
    <w:rsid w:val="00B414A8"/>
    <w:rsid w:val="00B44C59"/>
    <w:rsid w:val="00B44DCA"/>
    <w:rsid w:val="00B4536A"/>
    <w:rsid w:val="00B511DF"/>
    <w:rsid w:val="00B52E63"/>
    <w:rsid w:val="00B54A25"/>
    <w:rsid w:val="00B6027C"/>
    <w:rsid w:val="00B617F4"/>
    <w:rsid w:val="00B6469F"/>
    <w:rsid w:val="00B66438"/>
    <w:rsid w:val="00B819A1"/>
    <w:rsid w:val="00B82294"/>
    <w:rsid w:val="00B83393"/>
    <w:rsid w:val="00B92EA8"/>
    <w:rsid w:val="00BA29DB"/>
    <w:rsid w:val="00BA444C"/>
    <w:rsid w:val="00BA6B5A"/>
    <w:rsid w:val="00BB305E"/>
    <w:rsid w:val="00BC00E5"/>
    <w:rsid w:val="00BC0F3D"/>
    <w:rsid w:val="00BC2570"/>
    <w:rsid w:val="00BC5C12"/>
    <w:rsid w:val="00BE544A"/>
    <w:rsid w:val="00BE736F"/>
    <w:rsid w:val="00BF0196"/>
    <w:rsid w:val="00BF04E2"/>
    <w:rsid w:val="00BF2499"/>
    <w:rsid w:val="00BF7BC7"/>
    <w:rsid w:val="00C04BB6"/>
    <w:rsid w:val="00C04BF7"/>
    <w:rsid w:val="00C05D0E"/>
    <w:rsid w:val="00C11645"/>
    <w:rsid w:val="00C12882"/>
    <w:rsid w:val="00C20A89"/>
    <w:rsid w:val="00C26074"/>
    <w:rsid w:val="00C3069F"/>
    <w:rsid w:val="00C32D4D"/>
    <w:rsid w:val="00C353D5"/>
    <w:rsid w:val="00C45FF7"/>
    <w:rsid w:val="00C474D6"/>
    <w:rsid w:val="00C5014D"/>
    <w:rsid w:val="00C54BC5"/>
    <w:rsid w:val="00C567D5"/>
    <w:rsid w:val="00C83B0A"/>
    <w:rsid w:val="00C86ACC"/>
    <w:rsid w:val="00C87714"/>
    <w:rsid w:val="00CB4CFB"/>
    <w:rsid w:val="00CB720D"/>
    <w:rsid w:val="00CC19E2"/>
    <w:rsid w:val="00CC1DDA"/>
    <w:rsid w:val="00CC3F7B"/>
    <w:rsid w:val="00CC5274"/>
    <w:rsid w:val="00CC575C"/>
    <w:rsid w:val="00CD3A75"/>
    <w:rsid w:val="00CE1E0C"/>
    <w:rsid w:val="00CE277E"/>
    <w:rsid w:val="00CF2BC9"/>
    <w:rsid w:val="00D15D3E"/>
    <w:rsid w:val="00D233FB"/>
    <w:rsid w:val="00D32354"/>
    <w:rsid w:val="00D3565B"/>
    <w:rsid w:val="00D35C5A"/>
    <w:rsid w:val="00D45E0D"/>
    <w:rsid w:val="00D46CD4"/>
    <w:rsid w:val="00D56867"/>
    <w:rsid w:val="00D77E90"/>
    <w:rsid w:val="00D8132E"/>
    <w:rsid w:val="00D8192B"/>
    <w:rsid w:val="00D819C5"/>
    <w:rsid w:val="00D93E53"/>
    <w:rsid w:val="00DA5D18"/>
    <w:rsid w:val="00DB61A4"/>
    <w:rsid w:val="00DB6E0E"/>
    <w:rsid w:val="00DC197B"/>
    <w:rsid w:val="00DD325F"/>
    <w:rsid w:val="00DE5A74"/>
    <w:rsid w:val="00DE65CD"/>
    <w:rsid w:val="00DF135C"/>
    <w:rsid w:val="00DF77D7"/>
    <w:rsid w:val="00DF7D61"/>
    <w:rsid w:val="00E02A7F"/>
    <w:rsid w:val="00E07880"/>
    <w:rsid w:val="00E10A2A"/>
    <w:rsid w:val="00E514CE"/>
    <w:rsid w:val="00E57A20"/>
    <w:rsid w:val="00E75541"/>
    <w:rsid w:val="00E75AA2"/>
    <w:rsid w:val="00E82621"/>
    <w:rsid w:val="00E82AA9"/>
    <w:rsid w:val="00E85E2F"/>
    <w:rsid w:val="00E87DCC"/>
    <w:rsid w:val="00E87FAC"/>
    <w:rsid w:val="00E931AF"/>
    <w:rsid w:val="00E97FE4"/>
    <w:rsid w:val="00EC1B50"/>
    <w:rsid w:val="00ED5046"/>
    <w:rsid w:val="00EE2F85"/>
    <w:rsid w:val="00F05BF8"/>
    <w:rsid w:val="00F15657"/>
    <w:rsid w:val="00F17644"/>
    <w:rsid w:val="00F278B5"/>
    <w:rsid w:val="00F36321"/>
    <w:rsid w:val="00F370D1"/>
    <w:rsid w:val="00F403E2"/>
    <w:rsid w:val="00F41F1B"/>
    <w:rsid w:val="00F51B27"/>
    <w:rsid w:val="00F5233C"/>
    <w:rsid w:val="00F542F2"/>
    <w:rsid w:val="00F7003B"/>
    <w:rsid w:val="00F721D8"/>
    <w:rsid w:val="00F76B38"/>
    <w:rsid w:val="00F77C9A"/>
    <w:rsid w:val="00F77F9E"/>
    <w:rsid w:val="00F90664"/>
    <w:rsid w:val="00F91FAE"/>
    <w:rsid w:val="00F93069"/>
    <w:rsid w:val="00F9402A"/>
    <w:rsid w:val="00F94C18"/>
    <w:rsid w:val="00FA5042"/>
    <w:rsid w:val="00FB13D0"/>
    <w:rsid w:val="00FB2570"/>
    <w:rsid w:val="00FB576C"/>
    <w:rsid w:val="00FB5BB7"/>
    <w:rsid w:val="00FC3752"/>
    <w:rsid w:val="00FC4CF8"/>
    <w:rsid w:val="00FD2AA6"/>
    <w:rsid w:val="00FE61AD"/>
    <w:rsid w:val="00FE7E8A"/>
    <w:rsid w:val="00FF477D"/>
    <w:rsid w:val="00FF703E"/>
    <w:rsid w:val="14835D42"/>
    <w:rsid w:val="15EC1402"/>
    <w:rsid w:val="1DCB1851"/>
    <w:rsid w:val="202A4273"/>
    <w:rsid w:val="2A677DD6"/>
    <w:rsid w:val="2C0172F2"/>
    <w:rsid w:val="2CA16D7D"/>
    <w:rsid w:val="482760A2"/>
    <w:rsid w:val="4B760846"/>
    <w:rsid w:val="4BB73A39"/>
    <w:rsid w:val="4E331E6B"/>
    <w:rsid w:val="4E4C1B02"/>
    <w:rsid w:val="57B103D4"/>
    <w:rsid w:val="57BD3EFE"/>
    <w:rsid w:val="5A7F6E2F"/>
    <w:rsid w:val="5AD17FF4"/>
    <w:rsid w:val="6C0576C7"/>
    <w:rsid w:val="6F0076D7"/>
    <w:rsid w:val="72876AE8"/>
    <w:rsid w:val="78444EA7"/>
    <w:rsid w:val="7B387BD5"/>
    <w:rsid w:val="7B4403A1"/>
    <w:rsid w:val="7FD904D7"/>
    <w:rsid w:val="7FFF0CE2"/>
    <w:rsid w:val="CB6FE33E"/>
    <w:rsid w:val="DECE0FA0"/>
    <w:rsid w:val="FEFF86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rPr>
      <w:lang w:val="zh-CN"/>
    </w:rPr>
  </w:style>
  <w:style w:type="paragraph" w:styleId="3">
    <w:name w:val="Date"/>
    <w:basedOn w:val="1"/>
    <w:next w:val="1"/>
    <w:link w:val="19"/>
    <w:unhideWhenUsed/>
    <w:qFormat/>
    <w:uiPriority w:val="99"/>
    <w:pPr>
      <w:ind w:left="100" w:leftChars="2500"/>
    </w:pPr>
    <w:rPr>
      <w:lang w:val="zh-CN"/>
    </w:rPr>
  </w:style>
  <w:style w:type="paragraph" w:styleId="4">
    <w:name w:val="Balloon Text"/>
    <w:basedOn w:val="1"/>
    <w:link w:val="14"/>
    <w:unhideWhenUsed/>
    <w:qFormat/>
    <w:uiPriority w:val="99"/>
    <w:rPr>
      <w:sz w:val="18"/>
      <w:szCs w:val="18"/>
      <w:lang w:val="zh-CN"/>
    </w:rPr>
  </w:style>
  <w:style w:type="paragraph" w:styleId="5">
    <w:name w:val="footer"/>
    <w:basedOn w:val="1"/>
    <w:link w:val="16"/>
    <w:unhideWhenUsed/>
    <w:qFormat/>
    <w:uiPriority w:val="99"/>
    <w:pPr>
      <w:tabs>
        <w:tab w:val="center" w:pos="4153"/>
        <w:tab w:val="right" w:pos="8306"/>
      </w:tabs>
      <w:snapToGrid w:val="0"/>
      <w:jc w:val="left"/>
    </w:pPr>
    <w:rPr>
      <w:sz w:val="18"/>
      <w:szCs w:val="18"/>
      <w:lang w:val="zh-CN"/>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Normal (Web)"/>
    <w:basedOn w:val="1"/>
    <w:semiHidden/>
    <w:unhideWhenUsed/>
    <w:qFormat/>
    <w:uiPriority w:val="0"/>
    <w:pPr>
      <w:spacing w:before="100" w:beforeAutospacing="1" w:after="100" w:afterAutospacing="1"/>
      <w:jc w:val="left"/>
    </w:pPr>
    <w:rPr>
      <w:rFonts w:ascii="Calibri" w:hAnsi="Calibri"/>
      <w:kern w:val="0"/>
      <w:sz w:val="24"/>
      <w:szCs w:val="22"/>
    </w:rPr>
  </w:style>
  <w:style w:type="paragraph" w:styleId="8">
    <w:name w:val="annotation subject"/>
    <w:basedOn w:val="2"/>
    <w:next w:val="2"/>
    <w:link w:val="18"/>
    <w:unhideWhenUsed/>
    <w:qFormat/>
    <w:uiPriority w:val="99"/>
    <w:rPr>
      <w:b/>
      <w:bCs/>
    </w:rPr>
  </w:style>
  <w:style w:type="character" w:styleId="11">
    <w:name w:val="page number"/>
    <w:basedOn w:val="10"/>
    <w:qFormat/>
    <w:uiPriority w:val="0"/>
  </w:style>
  <w:style w:type="character" w:styleId="12">
    <w:name w:val="Hyperlink"/>
    <w:semiHidden/>
    <w:unhideWhenUsed/>
    <w:qFormat/>
    <w:uiPriority w:val="99"/>
    <w:rPr>
      <w:color w:val="0000FF"/>
      <w:u w:val="single"/>
    </w:rPr>
  </w:style>
  <w:style w:type="character" w:styleId="13">
    <w:name w:val="annotation reference"/>
    <w:unhideWhenUsed/>
    <w:qFormat/>
    <w:uiPriority w:val="99"/>
    <w:rPr>
      <w:sz w:val="21"/>
      <w:szCs w:val="21"/>
    </w:rPr>
  </w:style>
  <w:style w:type="character" w:customStyle="1" w:styleId="14">
    <w:name w:val="批注框文本 字符"/>
    <w:link w:val="4"/>
    <w:semiHidden/>
    <w:qFormat/>
    <w:uiPriority w:val="99"/>
    <w:rPr>
      <w:kern w:val="2"/>
      <w:sz w:val="18"/>
      <w:szCs w:val="18"/>
    </w:rPr>
  </w:style>
  <w:style w:type="character" w:customStyle="1" w:styleId="15">
    <w:name w:val="批注文字 字符"/>
    <w:link w:val="2"/>
    <w:semiHidden/>
    <w:qFormat/>
    <w:uiPriority w:val="99"/>
    <w:rPr>
      <w:kern w:val="2"/>
      <w:sz w:val="21"/>
      <w:szCs w:val="24"/>
    </w:rPr>
  </w:style>
  <w:style w:type="character" w:customStyle="1" w:styleId="16">
    <w:name w:val="页脚 字符"/>
    <w:link w:val="5"/>
    <w:qFormat/>
    <w:uiPriority w:val="99"/>
    <w:rPr>
      <w:kern w:val="2"/>
      <w:sz w:val="18"/>
      <w:szCs w:val="18"/>
    </w:rPr>
  </w:style>
  <w:style w:type="character" w:customStyle="1" w:styleId="17">
    <w:name w:val="页眉 字符"/>
    <w:link w:val="6"/>
    <w:semiHidden/>
    <w:qFormat/>
    <w:uiPriority w:val="99"/>
    <w:rPr>
      <w:kern w:val="2"/>
      <w:sz w:val="18"/>
      <w:szCs w:val="18"/>
    </w:rPr>
  </w:style>
  <w:style w:type="character" w:customStyle="1" w:styleId="18">
    <w:name w:val="批注主题 字符"/>
    <w:link w:val="8"/>
    <w:semiHidden/>
    <w:qFormat/>
    <w:uiPriority w:val="99"/>
    <w:rPr>
      <w:b/>
      <w:bCs/>
      <w:kern w:val="2"/>
      <w:sz w:val="21"/>
      <w:szCs w:val="24"/>
    </w:rPr>
  </w:style>
  <w:style w:type="character" w:customStyle="1" w:styleId="19">
    <w:name w:val="日期 字符"/>
    <w:link w:val="3"/>
    <w:semiHidden/>
    <w:qFormat/>
    <w:uiPriority w:val="99"/>
    <w:rPr>
      <w:kern w:val="2"/>
      <w:sz w:val="21"/>
      <w:szCs w:val="24"/>
    </w:rPr>
  </w:style>
  <w:style w:type="paragraph" w:customStyle="1" w:styleId="20">
    <w:name w:val="列出段落1"/>
    <w:basedOn w:val="1"/>
    <w:qFormat/>
    <w:uiPriority w:val="34"/>
    <w:pPr>
      <w:ind w:firstLine="420" w:firstLineChars="200"/>
    </w:pPr>
    <w:rPr>
      <w:rFonts w:ascii="Calibri" w:hAnsi="Calibri"/>
      <w:szCs w:val="22"/>
    </w:rPr>
  </w:style>
  <w:style w:type="paragraph" w:styleId="21">
    <w:name w:val="List Paragraph"/>
    <w:basedOn w:val="1"/>
    <w:qFormat/>
    <w:uiPriority w:val="34"/>
    <w:pPr>
      <w:ind w:firstLine="420" w:firstLineChars="200"/>
    </w:pPr>
    <w:rPr>
      <w:rFonts w:ascii="等线" w:hAnsi="等线" w:eastAsia="等线"/>
      <w:szCs w:val="22"/>
    </w:rPr>
  </w:style>
  <w:style w:type="paragraph" w:customStyle="1" w:styleId="22">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644</Words>
  <Characters>1314</Characters>
  <Lines>19</Lines>
  <Paragraphs>5</Paragraphs>
  <TotalTime>5</TotalTime>
  <ScaleCrop>false</ScaleCrop>
  <LinksUpToDate>false</LinksUpToDate>
  <CharactersWithSpaces>1368</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2022-05-14T06:38:00Z</dcterms:created>
  <dc:creator>Legend User</dc:creator>
  <cp:lastModifiedBy>ysgz</cp:lastModifiedBy>
  <cp:lastPrinted>2021-03-21T02:15:00Z</cp:lastPrinted>
  <dcterms:modified xsi:type="dcterms:W3CDTF">2026-04-20T16:49:49Z</dcterms:modified>
  <dc:title>××产品质量监督抽查实施细则</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36829292637E44CCB97F3037EE08BC4F_13</vt:lpwstr>
  </property>
  <property fmtid="{D5CDD505-2E9C-101B-9397-08002B2CF9AE}" pid="4" name="KSOTemplateDocerSaveRecord">
    <vt:lpwstr>eyJoZGlkIjoiYzNjY2JmMjNlMDllNWU1MDA5OTIxN2JjZTI4MjBkZTMiLCJ1c2VySWQiOiI0MDIwOTUwNjUifQ==</vt:lpwstr>
  </property>
</Properties>
</file>